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8BB2F9" w14:textId="1ED84FDB" w:rsidR="006E26A8" w:rsidRDefault="00E11D7D">
      <w:pPr>
        <w:keepNext/>
        <w:spacing w:line="360" w:lineRule="auto"/>
        <w:jc w:val="center"/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</w:pP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 xml:space="preserve">PARECER JURÍDICO N° </w:t>
      </w:r>
      <w:r w:rsidR="001D17F3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1</w:t>
      </w:r>
      <w:r w:rsidR="00B75945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2</w:t>
      </w:r>
      <w:r w:rsidR="001C440C"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7</w:t>
      </w:r>
      <w:r>
        <w:rPr>
          <w:rFonts w:ascii="Calibri" w:eastAsia="Calibri" w:hAnsi="Calibri" w:cs="Calibri"/>
          <w:b/>
          <w:color w:val="000000"/>
          <w:sz w:val="36"/>
          <w:szCs w:val="36"/>
          <w:u w:val="single"/>
        </w:rPr>
        <w:t>/2025</w:t>
      </w:r>
    </w:p>
    <w:p w14:paraId="395DFABC" w14:textId="77777777" w:rsidR="006E26A8" w:rsidRDefault="006E26A8">
      <w:pPr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568D6EF" w14:textId="52340E5E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 xml:space="preserve">Projeto de Lei do </w:t>
      </w:r>
      <w:r w:rsidR="001C440C">
        <w:rPr>
          <w:rFonts w:asciiTheme="majorHAnsi" w:eastAsia="Calibri" w:hAnsiTheme="majorHAnsi" w:cstheme="majorHAnsi"/>
          <w:b/>
          <w:color w:val="000000"/>
        </w:rPr>
        <w:t>Legislativo</w:t>
      </w:r>
      <w:r w:rsidRPr="00E11D7D">
        <w:rPr>
          <w:rFonts w:asciiTheme="majorHAnsi" w:eastAsia="Calibri" w:hAnsiTheme="majorHAnsi" w:cstheme="majorHAnsi"/>
          <w:b/>
          <w:color w:val="000000"/>
        </w:rPr>
        <w:t xml:space="preserve"> nº</w:t>
      </w:r>
      <w:r w:rsidR="004E31AE">
        <w:rPr>
          <w:rFonts w:asciiTheme="majorHAnsi" w:eastAsia="Calibri" w:hAnsiTheme="majorHAnsi" w:cstheme="majorHAnsi"/>
          <w:b/>
          <w:color w:val="000000"/>
        </w:rPr>
        <w:t xml:space="preserve"> </w:t>
      </w:r>
      <w:r w:rsidR="007645BC">
        <w:rPr>
          <w:rFonts w:asciiTheme="majorHAnsi" w:eastAsia="Calibri" w:hAnsiTheme="majorHAnsi" w:cstheme="majorHAnsi"/>
          <w:b/>
          <w:color w:val="000000"/>
        </w:rPr>
        <w:t>6</w:t>
      </w:r>
      <w:r w:rsidR="00B75945">
        <w:rPr>
          <w:rFonts w:asciiTheme="majorHAnsi" w:eastAsia="Calibri" w:hAnsiTheme="majorHAnsi" w:cstheme="majorHAnsi"/>
          <w:b/>
          <w:color w:val="000000"/>
        </w:rPr>
        <w:t>8</w:t>
      </w:r>
      <w:r w:rsidR="00AA15D9">
        <w:rPr>
          <w:rFonts w:asciiTheme="majorHAnsi" w:eastAsia="Calibri" w:hAnsiTheme="majorHAnsi" w:cstheme="majorHAnsi"/>
          <w:b/>
          <w:color w:val="000000"/>
        </w:rPr>
        <w:t>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 w:rsidR="004E31AE">
        <w:rPr>
          <w:rFonts w:asciiTheme="majorHAnsi" w:eastAsia="Calibri" w:hAnsiTheme="majorHAnsi" w:cstheme="majorHAnsi"/>
          <w:b/>
          <w:color w:val="000000"/>
        </w:rPr>
        <w:t>5</w:t>
      </w:r>
    </w:p>
    <w:p w14:paraId="020A8A76" w14:textId="220E2194" w:rsidR="006E26A8" w:rsidRPr="00E11D7D" w:rsidRDefault="00E11D7D" w:rsidP="003A27EE">
      <w:pPr>
        <w:widowControl w:val="0"/>
        <w:jc w:val="both"/>
        <w:rPr>
          <w:rFonts w:asciiTheme="majorHAnsi" w:eastAsia="Calibri" w:hAnsiTheme="majorHAnsi" w:cstheme="majorHAnsi"/>
        </w:rPr>
      </w:pPr>
      <w:r w:rsidRPr="00E11D7D">
        <w:rPr>
          <w:rFonts w:asciiTheme="majorHAnsi" w:eastAsia="Calibri" w:hAnsiTheme="majorHAnsi" w:cstheme="majorHAnsi"/>
          <w:b/>
        </w:rPr>
        <w:t xml:space="preserve">AUTORIA: </w:t>
      </w:r>
      <w:r w:rsidR="001C440C">
        <w:rPr>
          <w:rFonts w:asciiTheme="majorHAnsi" w:eastAsia="Calibri" w:hAnsiTheme="majorHAnsi" w:cstheme="majorHAnsi"/>
          <w:b/>
        </w:rPr>
        <w:t>MESA DIRETORA</w:t>
      </w:r>
    </w:p>
    <w:p w14:paraId="2A3EF190" w14:textId="43ED5CB6" w:rsidR="00AA15D9" w:rsidRPr="00AA15D9" w:rsidRDefault="00032254" w:rsidP="00AA15D9">
      <w:pPr>
        <w:jc w:val="both"/>
        <w:rPr>
          <w:rFonts w:ascii="Arial" w:eastAsia="Calibri" w:hAnsi="Arial"/>
          <w:i/>
          <w:iCs/>
          <w:color w:val="333333"/>
          <w:sz w:val="22"/>
          <w:szCs w:val="22"/>
          <w:lang w:val="de-DE"/>
        </w:rPr>
      </w:pPr>
      <w:r w:rsidRPr="00A959FC">
        <w:rPr>
          <w:rFonts w:ascii="Arial" w:eastAsia="Calibri" w:hAnsi="Arial"/>
          <w:b/>
          <w:bCs/>
          <w:i/>
          <w:iCs/>
          <w:color w:val="333333"/>
          <w:sz w:val="22"/>
          <w:szCs w:val="22"/>
          <w:highlight w:val="white"/>
        </w:rPr>
        <w:t>EMENTA</w:t>
      </w:r>
      <w:r w:rsidR="00B75945" w:rsidRPr="00B75945">
        <w:t xml:space="preserve"> </w:t>
      </w:r>
      <w:r w:rsidR="001C440C" w:rsidRPr="001C440C">
        <w:rPr>
          <w:rFonts w:ascii="Arial" w:eastAsia="Calibri" w:hAnsi="Arial"/>
          <w:i/>
          <w:iCs/>
          <w:color w:val="333333"/>
          <w:sz w:val="22"/>
          <w:szCs w:val="22"/>
        </w:rPr>
        <w:t>"Altera a Lei Municipal n. 4.434, de 20 de dezembro de 2012"</w:t>
      </w:r>
    </w:p>
    <w:p w14:paraId="0C1DEBCC" w14:textId="6E5D850A" w:rsidR="008510E5" w:rsidRDefault="008510E5" w:rsidP="00AA15D9">
      <w:pP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>Protocolado em 1</w:t>
      </w:r>
      <w:r w:rsidR="001C440C">
        <w:rPr>
          <w:rFonts w:asciiTheme="majorHAnsi" w:hAnsiTheme="majorHAnsi" w:cstheme="majorHAnsi"/>
          <w:lang w:val="de-DE"/>
        </w:rPr>
        <w:t>4</w:t>
      </w:r>
      <w:r w:rsidRPr="008510E5">
        <w:rPr>
          <w:rFonts w:asciiTheme="majorHAnsi" w:hAnsiTheme="majorHAnsi" w:cstheme="majorHAnsi"/>
          <w:lang w:val="de-DE"/>
        </w:rPr>
        <w:t xml:space="preserve">/11/2025 </w:t>
      </w:r>
    </w:p>
    <w:p w14:paraId="2C2BE724" w14:textId="77777777" w:rsidR="008510E5" w:rsidRDefault="008510E5" w:rsidP="008510E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Encaminhado à Comissão em 19/11/2025 </w:t>
      </w:r>
    </w:p>
    <w:p w14:paraId="5A37759A" w14:textId="19DF722D" w:rsidR="008510E5" w:rsidRPr="008510E5" w:rsidRDefault="008510E5" w:rsidP="008510E5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 w:cstheme="majorHAnsi"/>
          <w:lang w:val="de-DE"/>
        </w:rPr>
      </w:pPr>
      <w:r w:rsidRPr="008510E5">
        <w:rPr>
          <w:rFonts w:asciiTheme="majorHAnsi" w:hAnsiTheme="majorHAnsi" w:cstheme="majorHAnsi"/>
          <w:lang w:val="de-DE"/>
        </w:rPr>
        <w:t xml:space="preserve">Rito Normal </w:t>
      </w:r>
    </w:p>
    <w:p w14:paraId="0C044FDD" w14:textId="77777777" w:rsidR="00970E03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57DA4F61" w14:textId="77777777" w:rsidR="00970E03" w:rsidRPr="00E11D7D" w:rsidRDefault="00970E03" w:rsidP="00E11D7D">
      <w:pPr>
        <w:jc w:val="both"/>
        <w:rPr>
          <w:rFonts w:asciiTheme="majorHAnsi" w:eastAsia="Calibri" w:hAnsiTheme="majorHAnsi" w:cstheme="majorHAnsi"/>
          <w:b/>
        </w:rPr>
      </w:pPr>
    </w:p>
    <w:p w14:paraId="0DB57960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 – RELATÓRIO</w:t>
      </w:r>
    </w:p>
    <w:p w14:paraId="05FE0B34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</w:p>
    <w:p w14:paraId="7E008D9F" w14:textId="269978F3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 mesa Diretora da Câmara de Vereadores de Igrejinha encaminhou, nesta data, para essa Procuradoria Jurídica pedido de análise e emissão de parecer jurídico de proposição de autoria do</w:t>
      </w:r>
      <w:r w:rsidR="001C440C">
        <w:rPr>
          <w:rFonts w:ascii="Calibri" w:eastAsia="Calibri" w:hAnsi="Calibri" w:cs="Calibri"/>
        </w:rPr>
        <w:t xml:space="preserve"> Legislativo</w:t>
      </w:r>
      <w:r>
        <w:rPr>
          <w:rFonts w:ascii="Calibri" w:eastAsia="Calibri" w:hAnsi="Calibri" w:cs="Calibri"/>
        </w:rPr>
        <w:t xml:space="preserve">. </w:t>
      </w:r>
    </w:p>
    <w:p w14:paraId="764614C1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É o sucinto relatório.</w:t>
      </w:r>
    </w:p>
    <w:p w14:paraId="79972406" w14:textId="77777777" w:rsidR="006E26A8" w:rsidRDefault="00E11D7D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Passo à análise jurídica.</w:t>
      </w:r>
    </w:p>
    <w:p w14:paraId="364DFA62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688B5359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  <w:u w:val="single"/>
        </w:rPr>
      </w:pPr>
      <w:r>
        <w:rPr>
          <w:rFonts w:ascii="Calibri" w:eastAsia="Calibri" w:hAnsi="Calibri" w:cs="Calibri"/>
          <w:b/>
          <w:u w:val="single"/>
        </w:rPr>
        <w:t>II – ANÁLISE JURÍDICA</w:t>
      </w:r>
    </w:p>
    <w:p w14:paraId="44095DB1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 </w:t>
      </w:r>
    </w:p>
    <w:p w14:paraId="365C1968" w14:textId="03C25C56" w:rsidR="006E26A8" w:rsidRDefault="00244351">
      <w:pPr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Quanto ao rito processual, </w:t>
      </w:r>
      <w:r w:rsidR="001C440C">
        <w:rPr>
          <w:rFonts w:ascii="Calibri" w:eastAsia="Calibri" w:hAnsi="Calibri" w:cs="Calibri"/>
        </w:rPr>
        <w:t xml:space="preserve">a matéria </w:t>
      </w:r>
      <w:r w:rsidR="004E31AE">
        <w:rPr>
          <w:rFonts w:ascii="Calibri" w:eastAsia="Calibri" w:hAnsi="Calibri" w:cs="Calibri"/>
        </w:rPr>
        <w:t>tramita em r</w:t>
      </w:r>
      <w:r w:rsidR="001D17F3">
        <w:rPr>
          <w:rFonts w:ascii="Calibri" w:eastAsia="Calibri" w:hAnsi="Calibri" w:cs="Calibri"/>
        </w:rPr>
        <w:t>ito normal</w:t>
      </w:r>
      <w:r w:rsidR="004E31AE">
        <w:rPr>
          <w:rFonts w:ascii="Calibri" w:eastAsia="Calibri" w:hAnsi="Calibri" w:cs="Calibri"/>
        </w:rPr>
        <w:t>.</w:t>
      </w:r>
    </w:p>
    <w:p w14:paraId="1B483143" w14:textId="77777777" w:rsidR="006E26A8" w:rsidRDefault="006E26A8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3B96953B" w14:textId="77777777" w:rsidR="006E26A8" w:rsidRDefault="00E11D7D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 Competência e iniciativa</w:t>
      </w:r>
    </w:p>
    <w:p w14:paraId="1AE7D3A0" w14:textId="77777777" w:rsidR="006E26A8" w:rsidRDefault="006E26A8">
      <w:pPr>
        <w:pStyle w:val="LO-normal"/>
        <w:widowControl w:val="0"/>
        <w:spacing w:line="360" w:lineRule="auto"/>
        <w:jc w:val="both"/>
        <w:rPr>
          <w:rFonts w:ascii="Calibri" w:eastAsia="Calibri" w:hAnsi="Calibri" w:cs="Calibri"/>
          <w:b/>
        </w:rPr>
      </w:pPr>
    </w:p>
    <w:p w14:paraId="045A3249" w14:textId="77777777" w:rsidR="0084052A" w:rsidRDefault="0084052A" w:rsidP="0084052A">
      <w:pPr>
        <w:pStyle w:val="LO-normal"/>
        <w:widowControl w:val="0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Em primeiro momento analisamos a competência quanto a esfera de poder (União, Estado, Município) para proposição do referido Projeto de Lei e, portanto, cumpre dizer que este Projeto tem a utilização legítima da competência legislativa disposta para os Municípios no inciso I, do art. 30, da CF/88, como segue: </w:t>
      </w:r>
    </w:p>
    <w:p w14:paraId="1347DDE3" w14:textId="77777777" w:rsidR="0084052A" w:rsidRDefault="0084052A" w:rsidP="0084052A">
      <w:pPr>
        <w:pStyle w:val="LO-normal"/>
        <w:spacing w:line="360" w:lineRule="auto"/>
        <w:ind w:firstLine="851"/>
        <w:jc w:val="both"/>
        <w:rPr>
          <w:rFonts w:ascii="Calibri" w:eastAsia="Calibri" w:hAnsi="Calibri" w:cs="Calibri"/>
          <w:sz w:val="20"/>
          <w:szCs w:val="20"/>
        </w:rPr>
      </w:pPr>
    </w:p>
    <w:p w14:paraId="4717FCE3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“Art. 30. Compete aos Municípios:</w:t>
      </w:r>
    </w:p>
    <w:p w14:paraId="7E4D5A3A" w14:textId="77777777" w:rsidR="0084052A" w:rsidRDefault="0084052A" w:rsidP="0084052A">
      <w:pPr>
        <w:pStyle w:val="LO-normal"/>
        <w:shd w:val="clear" w:color="auto" w:fill="FFFFFF"/>
        <w:ind w:left="2267" w:firstLine="360"/>
        <w:jc w:val="both"/>
        <w:rPr>
          <w:rFonts w:ascii="Calibri" w:eastAsia="Calibri" w:hAnsi="Calibri" w:cs="Calibri"/>
          <w:i/>
          <w:sz w:val="20"/>
          <w:szCs w:val="20"/>
        </w:rPr>
      </w:pPr>
      <w:r>
        <w:rPr>
          <w:rFonts w:ascii="Calibri" w:eastAsia="Calibri" w:hAnsi="Calibri" w:cs="Calibri"/>
          <w:i/>
          <w:sz w:val="20"/>
          <w:szCs w:val="20"/>
        </w:rPr>
        <w:t>I - legislar sobre assuntos de interesse local; [...]</w:t>
      </w:r>
    </w:p>
    <w:p w14:paraId="560195B8" w14:textId="77777777" w:rsidR="001C440C" w:rsidRDefault="001C440C" w:rsidP="0084052A">
      <w:pPr>
        <w:pStyle w:val="LO-normal"/>
        <w:shd w:val="clear" w:color="auto" w:fill="FFFFFF"/>
        <w:ind w:left="2267" w:firstLine="360"/>
        <w:jc w:val="both"/>
      </w:pPr>
    </w:p>
    <w:p w14:paraId="028F9F8A" w14:textId="4DAB1D5A" w:rsidR="001C440C" w:rsidRDefault="001C440C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Cs/>
        </w:rPr>
      </w:pPr>
      <w:bookmarkStart w:id="0" w:name="_Hlk215574520"/>
      <w:r w:rsidRPr="001C440C">
        <w:rPr>
          <w:rFonts w:asciiTheme="majorHAnsi" w:eastAsia="Calibri" w:hAnsiTheme="majorHAnsi" w:cstheme="majorHAnsi"/>
          <w:bCs/>
        </w:rPr>
        <w:t xml:space="preserve">O Projeto altera o art. 9º da Lei Municipal nº 4.434/2012, </w:t>
      </w:r>
      <w:r w:rsidR="00A76E1A">
        <w:rPr>
          <w:rFonts w:asciiTheme="majorHAnsi" w:eastAsia="Calibri" w:hAnsiTheme="majorHAnsi" w:cstheme="majorHAnsi"/>
          <w:bCs/>
        </w:rPr>
        <w:t xml:space="preserve">e </w:t>
      </w:r>
      <w:r w:rsidRPr="001C440C">
        <w:rPr>
          <w:rFonts w:asciiTheme="majorHAnsi" w:eastAsia="Calibri" w:hAnsiTheme="majorHAnsi" w:cstheme="majorHAnsi"/>
          <w:bCs/>
        </w:rPr>
        <w:t xml:space="preserve">tem por objetivo modificar o critério de aperfeiçoamento exigido para promoção de servidores, passando a exigir a participação </w:t>
      </w:r>
      <w:r w:rsidRPr="001C440C">
        <w:rPr>
          <w:rFonts w:asciiTheme="majorHAnsi" w:eastAsia="Calibri" w:hAnsiTheme="majorHAnsi" w:cstheme="majorHAnsi"/>
          <w:bCs/>
        </w:rPr>
        <w:lastRenderedPageBreak/>
        <w:t xml:space="preserve">em, no mínimo, trinta horas de cursos ou eventos similares, sem delimitação anual. A proposta busca flexibilizar o requisito, permitindo que o servidor acumule as horas de aperfeiçoamento ao longo do período que antecede a promoção, em vez de exigir um mínimo anual. </w:t>
      </w:r>
    </w:p>
    <w:bookmarkEnd w:id="0"/>
    <w:p w14:paraId="5BBCC1CB" w14:textId="7CCDE9CF" w:rsidR="006E26A8" w:rsidRDefault="001C440C" w:rsidP="004E31AE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Cs/>
        </w:rPr>
      </w:pPr>
      <w:r w:rsidRPr="001C440C">
        <w:rPr>
          <w:rFonts w:asciiTheme="majorHAnsi" w:eastAsia="Calibri" w:hAnsiTheme="majorHAnsi" w:cstheme="majorHAnsi"/>
          <w:bCs/>
        </w:rPr>
        <w:t>No âmbito da competência legislativa municipal, a Câmara pode propor alterações em leis que tratem do plano de carreira dos servidores do seu Quadro, firme o art. 36, II, “b” e “c”, do Regimento Interno.</w:t>
      </w:r>
    </w:p>
    <w:p w14:paraId="5A6ACA46" w14:textId="77777777" w:rsidR="001C440C" w:rsidRDefault="001C440C" w:rsidP="001C440C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Cs/>
        </w:rPr>
      </w:pPr>
      <w:r w:rsidRPr="001C440C">
        <w:rPr>
          <w:rFonts w:asciiTheme="majorHAnsi" w:eastAsia="Calibri" w:hAnsiTheme="majorHAnsi" w:cstheme="majorHAnsi"/>
          <w:bCs/>
        </w:rPr>
        <w:t xml:space="preserve">A alteração proposta não implica aumento de despesa, tampouco concessão de vantagem financeira, mas apenas ajusta o critério de aperfeiçoamento para promoção funcional. Não há vedação constitucional ou legal à flexibilização do requisito de horas de cursos, desde que mantida a exigência de qualificação. O projeto respeita o princípio da razoabilidade, ao considerar situações excepcionais, como a calamidade climática de 2024, que dificultou a oferta de cursos. </w:t>
      </w:r>
    </w:p>
    <w:p w14:paraId="1B842DE5" w14:textId="31CE8255" w:rsidR="001C440C" w:rsidRDefault="001C440C" w:rsidP="001C440C">
      <w:pPr>
        <w:pStyle w:val="LO-normal"/>
        <w:widowControl w:val="0"/>
        <w:spacing w:line="360" w:lineRule="auto"/>
        <w:ind w:firstLine="850"/>
        <w:jc w:val="both"/>
        <w:rPr>
          <w:rFonts w:asciiTheme="majorHAnsi" w:eastAsia="Calibri" w:hAnsiTheme="majorHAnsi" w:cstheme="majorHAnsi"/>
          <w:b/>
          <w:u w:val="single"/>
        </w:rPr>
      </w:pPr>
      <w:r w:rsidRPr="001C440C">
        <w:rPr>
          <w:rFonts w:asciiTheme="majorHAnsi" w:eastAsia="Calibri" w:hAnsiTheme="majorHAnsi" w:cstheme="majorHAnsi"/>
          <w:bCs/>
        </w:rPr>
        <w:t>O projeto em análise, ao que se observa, limita-se à modificação de critério de aperfeiçoamento, sem repercussão financeira direta.</w:t>
      </w:r>
    </w:p>
    <w:p w14:paraId="3B48BE79" w14:textId="77777777" w:rsidR="001C440C" w:rsidRDefault="001C440C" w:rsidP="002C69C8">
      <w:pPr>
        <w:pStyle w:val="LO-normal"/>
        <w:spacing w:line="360" w:lineRule="auto"/>
        <w:jc w:val="both"/>
        <w:rPr>
          <w:rFonts w:asciiTheme="majorHAnsi" w:eastAsia="Calibri" w:hAnsiTheme="majorHAnsi" w:cstheme="majorHAnsi"/>
          <w:b/>
          <w:u w:val="single"/>
        </w:rPr>
      </w:pPr>
    </w:p>
    <w:p w14:paraId="20CC48C8" w14:textId="7B79D22F" w:rsidR="006E26A8" w:rsidRPr="004E31AE" w:rsidRDefault="00E11D7D" w:rsidP="002C69C8">
      <w:pPr>
        <w:pStyle w:val="LO-normal"/>
        <w:spacing w:line="360" w:lineRule="auto"/>
        <w:jc w:val="both"/>
        <w:rPr>
          <w:rFonts w:asciiTheme="majorHAnsi" w:hAnsiTheme="majorHAnsi" w:cstheme="majorHAnsi"/>
        </w:rPr>
      </w:pPr>
      <w:r w:rsidRPr="004E31AE">
        <w:rPr>
          <w:rFonts w:asciiTheme="majorHAnsi" w:eastAsia="Calibri" w:hAnsiTheme="majorHAnsi" w:cstheme="majorHAnsi"/>
          <w:b/>
          <w:u w:val="single"/>
        </w:rPr>
        <w:t>III – CONCLUSÃO</w:t>
      </w:r>
      <w:r w:rsidRPr="004E31AE">
        <w:rPr>
          <w:rFonts w:asciiTheme="majorHAnsi" w:eastAsia="Calibri" w:hAnsiTheme="majorHAnsi" w:cstheme="majorHAnsi"/>
          <w:b/>
        </w:rPr>
        <w:t xml:space="preserve"> </w:t>
      </w:r>
    </w:p>
    <w:p w14:paraId="18C0CCDD" w14:textId="77777777" w:rsidR="006E26A8" w:rsidRPr="004E31AE" w:rsidRDefault="006E26A8">
      <w:pPr>
        <w:pStyle w:val="LO-normal"/>
        <w:ind w:left="2260" w:firstLine="7"/>
        <w:jc w:val="both"/>
        <w:rPr>
          <w:rFonts w:asciiTheme="majorHAnsi" w:eastAsia="Calibri" w:hAnsiTheme="majorHAnsi" w:cstheme="majorHAnsi"/>
          <w:i/>
        </w:rPr>
      </w:pPr>
    </w:p>
    <w:p w14:paraId="377FEE96" w14:textId="1CACA50E" w:rsidR="006E26A8" w:rsidRDefault="00E11D7D">
      <w:pPr>
        <w:pStyle w:val="LO-normal"/>
        <w:spacing w:line="360" w:lineRule="auto"/>
        <w:ind w:firstLine="850"/>
        <w:jc w:val="both"/>
      </w:pPr>
      <w:r w:rsidRPr="004E31AE">
        <w:rPr>
          <w:rFonts w:asciiTheme="majorHAnsi" w:eastAsia="Calibri" w:hAnsiTheme="majorHAnsi" w:cstheme="majorHAnsi"/>
        </w:rPr>
        <w:t>Assim sendo, esta Assessoria</w:t>
      </w:r>
      <w:r w:rsidRPr="00E11D7D">
        <w:rPr>
          <w:rFonts w:asciiTheme="majorHAnsi" w:eastAsia="Calibri" w:hAnsiTheme="majorHAnsi" w:cstheme="majorHAnsi"/>
        </w:rPr>
        <w:t xml:space="preserve"> Jurídica opina pela </w:t>
      </w:r>
      <w:r w:rsidRPr="00E11D7D">
        <w:rPr>
          <w:rFonts w:asciiTheme="majorHAnsi" w:eastAsia="Calibri" w:hAnsiTheme="majorHAnsi" w:cstheme="majorHAnsi"/>
          <w:b/>
          <w:i/>
        </w:rPr>
        <w:t xml:space="preserve">legalidade </w:t>
      </w:r>
      <w:r w:rsidRPr="00E11D7D">
        <w:rPr>
          <w:rFonts w:asciiTheme="majorHAnsi" w:eastAsia="Calibri" w:hAnsiTheme="majorHAnsi" w:cstheme="majorHAnsi"/>
        </w:rPr>
        <w:t>e</w:t>
      </w:r>
      <w:r w:rsidRPr="00E11D7D">
        <w:rPr>
          <w:rFonts w:asciiTheme="majorHAnsi" w:eastAsia="Calibri" w:hAnsiTheme="majorHAnsi" w:cstheme="majorHAnsi"/>
          <w:b/>
          <w:i/>
        </w:rPr>
        <w:t xml:space="preserve"> constitucionalidade</w:t>
      </w:r>
      <w:r w:rsidRPr="00E11D7D">
        <w:rPr>
          <w:rFonts w:asciiTheme="majorHAnsi" w:eastAsia="Calibri" w:hAnsiTheme="majorHAnsi" w:cstheme="majorHAnsi"/>
          <w:i/>
        </w:rPr>
        <w:t xml:space="preserve"> </w:t>
      </w:r>
      <w:r w:rsidRPr="00E11D7D">
        <w:rPr>
          <w:rFonts w:asciiTheme="majorHAnsi" w:eastAsia="Calibri" w:hAnsiTheme="majorHAnsi" w:cstheme="majorHAnsi"/>
        </w:rPr>
        <w:t xml:space="preserve">do referido </w:t>
      </w:r>
      <w:r w:rsidR="001D17F3">
        <w:rPr>
          <w:rFonts w:asciiTheme="majorHAnsi" w:eastAsia="Calibri" w:hAnsiTheme="majorHAnsi" w:cstheme="majorHAnsi"/>
        </w:rPr>
        <w:t>p</w:t>
      </w:r>
      <w:r w:rsidRPr="00E11D7D">
        <w:rPr>
          <w:rFonts w:asciiTheme="majorHAnsi" w:eastAsia="Calibri" w:hAnsiTheme="majorHAnsi" w:cstheme="majorHAnsi"/>
        </w:rPr>
        <w:t>rojeto de Lei</w:t>
      </w:r>
      <w:r>
        <w:rPr>
          <w:rFonts w:ascii="Calibri" w:eastAsia="Calibri" w:hAnsi="Calibri" w:cs="Calibri"/>
        </w:rPr>
        <w:t>, tendo em vista que em análise não se observou qualquer vício em sua redação.</w:t>
      </w:r>
    </w:p>
    <w:p w14:paraId="41F0C217" w14:textId="77777777" w:rsidR="006E26A8" w:rsidRDefault="00E11D7D">
      <w:pPr>
        <w:pStyle w:val="LO-normal"/>
        <w:spacing w:line="360" w:lineRule="auto"/>
        <w:ind w:firstLine="850"/>
        <w:jc w:val="both"/>
      </w:pPr>
      <w:r>
        <w:rPr>
          <w:rFonts w:ascii="Calibri" w:eastAsia="Calibri" w:hAnsi="Calibri" w:cs="Calibri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 w14:paraId="4C52BEC7" w14:textId="77777777" w:rsidR="006E26A8" w:rsidRDefault="00E11D7D">
      <w:pPr>
        <w:pStyle w:val="LO-normal"/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Este é o parecer.</w:t>
      </w:r>
    </w:p>
    <w:p w14:paraId="756AB2BE" w14:textId="77777777" w:rsidR="001C440C" w:rsidRDefault="001C440C">
      <w:pPr>
        <w:pStyle w:val="LO-normal"/>
        <w:spacing w:line="360" w:lineRule="auto"/>
        <w:ind w:firstLine="850"/>
        <w:jc w:val="both"/>
      </w:pPr>
    </w:p>
    <w:p w14:paraId="133820F6" w14:textId="5B7E6BC5" w:rsidR="006E26A8" w:rsidRDefault="00E11D7D">
      <w:pPr>
        <w:spacing w:line="360" w:lineRule="auto"/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Igrejinha, </w:t>
      </w:r>
      <w:r w:rsidR="00B75945">
        <w:rPr>
          <w:rFonts w:ascii="Calibri" w:eastAsia="Calibri" w:hAnsi="Calibri" w:cs="Calibri"/>
        </w:rPr>
        <w:t>01</w:t>
      </w:r>
      <w:r w:rsidR="00B24048">
        <w:rPr>
          <w:rFonts w:ascii="Calibri" w:eastAsia="Calibri" w:hAnsi="Calibri" w:cs="Calibri"/>
        </w:rPr>
        <w:t xml:space="preserve"> de </w:t>
      </w:r>
      <w:r w:rsidR="00B75945">
        <w:rPr>
          <w:rFonts w:ascii="Calibri" w:eastAsia="Calibri" w:hAnsi="Calibri" w:cs="Calibri"/>
        </w:rPr>
        <w:t xml:space="preserve">dezembro </w:t>
      </w:r>
      <w:r>
        <w:rPr>
          <w:rFonts w:ascii="Calibri" w:eastAsia="Calibri" w:hAnsi="Calibri" w:cs="Calibri"/>
        </w:rPr>
        <w:t>de 2025.</w:t>
      </w:r>
    </w:p>
    <w:p w14:paraId="647A6355" w14:textId="77777777" w:rsidR="001C440C" w:rsidRDefault="001C440C">
      <w:pPr>
        <w:spacing w:line="360" w:lineRule="auto"/>
        <w:ind w:firstLine="850"/>
        <w:jc w:val="both"/>
        <w:rPr>
          <w:rFonts w:ascii="Calibri" w:eastAsia="Calibri" w:hAnsi="Calibri" w:cs="Calibri"/>
        </w:rPr>
      </w:pPr>
    </w:p>
    <w:p w14:paraId="6B552680" w14:textId="77777777" w:rsidR="006E26A8" w:rsidRDefault="006E26A8">
      <w:pPr>
        <w:ind w:firstLine="850"/>
        <w:jc w:val="both"/>
        <w:rPr>
          <w:rFonts w:ascii="Calibri" w:eastAsia="Calibri" w:hAnsi="Calibri" w:cs="Calibri"/>
          <w:b/>
        </w:rPr>
      </w:pPr>
    </w:p>
    <w:p w14:paraId="37FA498F" w14:textId="77777777" w:rsidR="006E26A8" w:rsidRDefault="00E11D7D">
      <w:pPr>
        <w:ind w:firstLine="85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Anderson Fidelis de Araujo </w:t>
      </w:r>
    </w:p>
    <w:p w14:paraId="17E4B3D7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Assessor Jurídico</w:t>
      </w:r>
    </w:p>
    <w:p w14:paraId="3BD3FE1F" w14:textId="77777777" w:rsidR="006E26A8" w:rsidRDefault="00E11D7D">
      <w:pPr>
        <w:ind w:firstLine="85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OAB/RS 58.063.</w:t>
      </w:r>
    </w:p>
    <w:p w14:paraId="4EC8BBE2" w14:textId="77777777" w:rsidR="006E26A8" w:rsidRDefault="006E26A8">
      <w:pPr>
        <w:tabs>
          <w:tab w:val="center" w:pos="4844"/>
          <w:tab w:val="left" w:pos="6750"/>
        </w:tabs>
        <w:jc w:val="center"/>
        <w:rPr>
          <w:rFonts w:ascii="Calibri" w:eastAsia="Calibri" w:hAnsi="Calibri" w:cs="Calibri"/>
        </w:rPr>
      </w:pPr>
    </w:p>
    <w:sectPr w:rsidR="006E26A8">
      <w:headerReference w:type="default" r:id="rId6"/>
      <w:footerReference w:type="default" r:id="rId7"/>
      <w:pgSz w:w="11906" w:h="16838"/>
      <w:pgMar w:top="2095" w:right="963" w:bottom="1280" w:left="1418" w:header="708" w:footer="708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B632" w14:textId="77777777" w:rsidR="0021698E" w:rsidRDefault="0021698E">
      <w:r>
        <w:separator/>
      </w:r>
    </w:p>
  </w:endnote>
  <w:endnote w:type="continuationSeparator" w:id="0">
    <w:p w14:paraId="75339AF2" w14:textId="77777777" w:rsidR="0021698E" w:rsidRDefault="002169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4C52D" w14:textId="77777777" w:rsidR="006E26A8" w:rsidRDefault="00E11D7D">
    <w:pPr>
      <w:tabs>
        <w:tab w:val="right" w:pos="10080"/>
      </w:tabs>
      <w:ind w:left="-1260" w:right="-1242"/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 xml:space="preserve"> “Doe vida: doe sangue, doe órgãos.”</w:t>
    </w:r>
  </w:p>
  <w:p w14:paraId="6C3D4B20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hyperlink r:id="rId1">
      <w:r>
        <w:rPr>
          <w:rFonts w:ascii="Arial" w:eastAsia="Arial" w:hAnsi="Arial" w:cs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31721F" w14:textId="77777777" w:rsidR="0021698E" w:rsidRDefault="0021698E">
      <w:r>
        <w:separator/>
      </w:r>
    </w:p>
  </w:footnote>
  <w:footnote w:type="continuationSeparator" w:id="0">
    <w:p w14:paraId="358DC6CC" w14:textId="77777777" w:rsidR="0021698E" w:rsidRDefault="002169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FACC6" w14:textId="77777777" w:rsidR="006E26A8" w:rsidRDefault="00E11D7D">
    <w:pPr>
      <w:tabs>
        <w:tab w:val="center" w:pos="-1843"/>
      </w:tabs>
      <w:jc w:val="center"/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ESTADO DO RIO GRANDE DO SUL</w:t>
    </w:r>
  </w:p>
  <w:p w14:paraId="3FC3E2E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color w:val="000000"/>
        <w:sz w:val="20"/>
        <w:szCs w:val="20"/>
      </w:rPr>
    </w:pPr>
    <w:r>
      <w:rPr>
        <w:rFonts w:ascii="Arial" w:eastAsia="Arial" w:hAnsi="Arial" w:cs="Arial"/>
        <w:b/>
        <w:color w:val="000000"/>
        <w:sz w:val="20"/>
        <w:szCs w:val="20"/>
      </w:rPr>
      <w:t>CÂMARA MUNICIPAL DE IGREJINHA</w:t>
    </w:r>
  </w:p>
  <w:p w14:paraId="58E46986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Rua Tiradentes, 115, Centro – CEP 95650-000 – Igrejinha RS</w:t>
    </w:r>
  </w:p>
  <w:p w14:paraId="4DB10D99" w14:textId="77777777" w:rsidR="006E26A8" w:rsidRDefault="00E11D7D">
    <w:pPr>
      <w:tabs>
        <w:tab w:val="center" w:pos="4419"/>
        <w:tab w:val="right" w:pos="8838"/>
      </w:tabs>
      <w:jc w:val="center"/>
      <w:rPr>
        <w:rFonts w:ascii="Arial" w:eastAsia="Arial" w:hAnsi="Arial" w:cs="Arial"/>
        <w:sz w:val="16"/>
        <w:szCs w:val="16"/>
      </w:rPr>
    </w:pPr>
    <w:r>
      <w:rPr>
        <w:rFonts w:ascii="Arial" w:eastAsia="Arial" w:hAnsi="Arial" w:cs="Arial"/>
        <w:b/>
        <w:sz w:val="16"/>
        <w:szCs w:val="16"/>
      </w:rPr>
      <w:t>Fone/Fax: (51) 3545.1644</w:t>
    </w:r>
  </w:p>
  <w:p w14:paraId="1C639135" w14:textId="77777777" w:rsidR="006E26A8" w:rsidRDefault="006E26A8">
    <w:pPr>
      <w:tabs>
        <w:tab w:val="center" w:pos="4419"/>
        <w:tab w:val="right" w:pos="8838"/>
      </w:tabs>
      <w:jc w:val="center"/>
      <w:rPr>
        <w:rFonts w:ascii="Arial" w:eastAsia="Arial" w:hAnsi="Arial" w:cs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6A8"/>
    <w:rsid w:val="00032254"/>
    <w:rsid w:val="00043900"/>
    <w:rsid w:val="001C440C"/>
    <w:rsid w:val="001D17F3"/>
    <w:rsid w:val="0021698E"/>
    <w:rsid w:val="00241B2E"/>
    <w:rsid w:val="00244351"/>
    <w:rsid w:val="002A2834"/>
    <w:rsid w:val="002B1170"/>
    <w:rsid w:val="002C69C8"/>
    <w:rsid w:val="00304587"/>
    <w:rsid w:val="003A27EE"/>
    <w:rsid w:val="003D1CF8"/>
    <w:rsid w:val="003E696E"/>
    <w:rsid w:val="00425414"/>
    <w:rsid w:val="00484E47"/>
    <w:rsid w:val="004D16B9"/>
    <w:rsid w:val="004E31AE"/>
    <w:rsid w:val="00510A80"/>
    <w:rsid w:val="0051330F"/>
    <w:rsid w:val="0054611A"/>
    <w:rsid w:val="005F6131"/>
    <w:rsid w:val="006D40C2"/>
    <w:rsid w:val="006E26A8"/>
    <w:rsid w:val="00703AE0"/>
    <w:rsid w:val="00746F14"/>
    <w:rsid w:val="007645BC"/>
    <w:rsid w:val="00790CF8"/>
    <w:rsid w:val="0079480B"/>
    <w:rsid w:val="007F2F89"/>
    <w:rsid w:val="007F7839"/>
    <w:rsid w:val="0084052A"/>
    <w:rsid w:val="008510E5"/>
    <w:rsid w:val="008D1A80"/>
    <w:rsid w:val="008F7465"/>
    <w:rsid w:val="00937D29"/>
    <w:rsid w:val="00970E03"/>
    <w:rsid w:val="009955F5"/>
    <w:rsid w:val="00A23562"/>
    <w:rsid w:val="00A41EC1"/>
    <w:rsid w:val="00A76E1A"/>
    <w:rsid w:val="00AA15D9"/>
    <w:rsid w:val="00AB616F"/>
    <w:rsid w:val="00B24048"/>
    <w:rsid w:val="00B67C03"/>
    <w:rsid w:val="00B75945"/>
    <w:rsid w:val="00B95EB7"/>
    <w:rsid w:val="00C2656F"/>
    <w:rsid w:val="00C34CAC"/>
    <w:rsid w:val="00DF6690"/>
    <w:rsid w:val="00E11D7D"/>
    <w:rsid w:val="00E1420E"/>
    <w:rsid w:val="00E237F8"/>
    <w:rsid w:val="00EA7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8C2EF"/>
  <w15:docId w15:val="{2CCD2EBE-B60A-4010-B55F-676B29539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character" w:styleId="Forte">
    <w:name w:val="Strong"/>
    <w:qFormat/>
    <w:rPr>
      <w:b/>
      <w:bCs/>
    </w:rPr>
  </w:style>
  <w:style w:type="character" w:customStyle="1" w:styleId="Caracteresdenotaderodap">
    <w:name w:val="Caracteres de nota de rodapé"/>
    <w:qFormat/>
    <w:rPr>
      <w:vertAlign w:val="superscript"/>
    </w:rPr>
  </w:style>
  <w:style w:type="character" w:styleId="Refdenotaderodap">
    <w:name w:val="footnote reference"/>
    <w:rPr>
      <w:vertAlign w:val="superscript"/>
    </w:rPr>
  </w:style>
  <w:style w:type="paragraph" w:styleId="Ttulo">
    <w:name w:val="Title"/>
    <w:basedOn w:val="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basedOn w:val="Normal"/>
    <w:uiPriority w:val="34"/>
    <w:qFormat/>
    <w:rsid w:val="00896B7C"/>
    <w:pPr>
      <w:ind w:left="720"/>
      <w:contextualSpacing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">
    <w:name w:val="LO-normal"/>
    <w:qFormat/>
  </w:style>
  <w:style w:type="paragraph" w:styleId="Textode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paragraph" w:customStyle="1" w:styleId="LO-normal1">
    <w:name w:val="LO-normal1"/>
    <w:qFormat/>
    <w:rPr>
      <w:rFonts w:eastAsia="NSimSun" w:cs="Arial"/>
      <w:lang w:eastAsia="zh-CN" w:bidi="hi-IN"/>
    </w:rPr>
  </w:style>
  <w:style w:type="paragraph" w:customStyle="1" w:styleId="LO-normal0">
    <w:name w:val="LO-normal0"/>
    <w:qFormat/>
    <w:rPr>
      <w:rFonts w:eastAsia="NSimSun" w:cs="Arial"/>
      <w:lang w:eastAsia="zh-CN" w:bidi="hi-IN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6846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447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A.F.A Advogado</dc:creator>
  <dc:description/>
  <cp:lastModifiedBy>Anderson Araujo</cp:lastModifiedBy>
  <cp:revision>4</cp:revision>
  <cp:lastPrinted>2025-01-27T18:36:00Z</cp:lastPrinted>
  <dcterms:created xsi:type="dcterms:W3CDTF">2025-12-02T16:21:00Z</dcterms:created>
  <dcterms:modified xsi:type="dcterms:W3CDTF">2025-12-02T16:31:00Z</dcterms:modified>
  <dc:language>pt-BR</dc:language>
</cp:coreProperties>
</file>