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31</w:t>
      </w: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01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3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color w:val="auto"/>
        </w:rPr>
      </w:pPr>
      <w:r>
        <w:rPr>
          <w:rFonts w:eastAsia="Calibri" w:cs="Arial" w:ascii="Arial" w:hAnsi="Arial"/>
          <w:b/>
          <w:bCs/>
          <w:i/>
          <w:iCs/>
          <w:color w:val="auto"/>
          <w:sz w:val="24"/>
          <w:szCs w:val="24"/>
          <w:highlight w:val="white"/>
        </w:rPr>
        <w:t>EMENTA:</w:t>
      </w:r>
      <w:r>
        <w:rPr>
          <w:rFonts w:cs="Arial" w:ascii="Arial" w:hAnsi="Arial"/>
          <w:color w:val="auto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auto"/>
          <w:sz w:val="24"/>
          <w:szCs w:val="24"/>
          <w:lang w:val="de-DE"/>
        </w:rPr>
        <w:t xml:space="preserve"> “</w:t>
      </w:r>
      <w:r>
        <w:rPr>
          <w:rFonts w:eastAsia="Calibri" w:cs="Calibri" w:ascii="Arial" w:hAnsi="Arial"/>
          <w:bCs/>
          <w:i/>
          <w:iCs/>
          <w:color w:val="auto"/>
          <w:sz w:val="24"/>
          <w:szCs w:val="24"/>
          <w:lang w:val="de-DE"/>
        </w:rPr>
        <w:t>Altera dispositivos da Lei Municipal nº 4.475, de 19 de abril de 2013, que institui o Programa “Adote uma Praça”, e dá outras providências;</w:t>
      </w:r>
    </w:p>
    <w:p>
      <w:pPr>
        <w:pStyle w:val="Normal"/>
        <w:widowControl w:val="false"/>
        <w:spacing w:lineRule="auto" w:line="240" w:before="0" w:after="0"/>
        <w:jc w:val="both"/>
        <w:rPr>
          <w:color w:val="auto"/>
        </w:rPr>
      </w:pPr>
      <w:r>
        <w:rPr>
          <w:rFonts w:eastAsia="Calibri" w:cs="Calibri" w:ascii="Arial" w:hAnsi="Arial" w:cstheme="majorHAnsi"/>
          <w:bCs/>
          <w:color w:val="auto"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 w:cstheme="majorHAnsi"/>
          <w:bCs/>
          <w:color w:val="auto"/>
          <w:sz w:val="24"/>
          <w:szCs w:val="24"/>
          <w:lang w:val="de-DE"/>
        </w:rPr>
        <w:t>16</w:t>
      </w:r>
      <w:r>
        <w:rPr>
          <w:rFonts w:eastAsia="Calibri" w:cs="Calibri" w:ascii="Arial" w:hAnsi="Arial" w:cstheme="majorHAnsi"/>
          <w:bCs/>
          <w:color w:val="auto"/>
          <w:sz w:val="24"/>
          <w:szCs w:val="24"/>
          <w:lang w:val="de-DE"/>
        </w:rPr>
        <w:t>/03/2026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color w:val="auto"/>
          <w:sz w:val="24"/>
          <w:szCs w:val="24"/>
          <w:lang w:val="de-DE"/>
        </w:rPr>
        <w:t>Encaminhado à Comiss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 xml:space="preserve">ão em 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24</w:t>
      </w: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/03/2025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</w:t>
      </w: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ito normal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Quanto ao rito processual, o Executivo Municipal </w:t>
      </w:r>
      <w:r>
        <w:rPr>
          <w:rFonts w:eastAsia="Calibri" w:cs="Arial" w:ascii="Arial" w:hAnsi="Arial"/>
          <w:sz w:val="24"/>
          <w:szCs w:val="24"/>
        </w:rPr>
        <w:t xml:space="preserve">não </w:t>
      </w:r>
      <w:r>
        <w:rPr>
          <w:rFonts w:eastAsia="Calibri" w:cs="Arial" w:ascii="Arial" w:hAnsi="Arial"/>
          <w:sz w:val="24"/>
          <w:szCs w:val="24"/>
        </w:rPr>
        <w:t>solicit</w:t>
      </w:r>
      <w:r>
        <w:rPr>
          <w:rFonts w:eastAsia="Calibri" w:cs="Arial" w:ascii="Arial" w:hAnsi="Arial"/>
          <w:sz w:val="24"/>
          <w:szCs w:val="24"/>
        </w:rPr>
        <w:t xml:space="preserve">ou </w:t>
      </w:r>
      <w:r>
        <w:rPr>
          <w:rFonts w:eastAsia="Calibri" w:cs="Arial" w:ascii="Arial" w:hAnsi="Arial"/>
          <w:sz w:val="24"/>
          <w:szCs w:val="24"/>
        </w:rPr>
        <w:t>urgência, motivo pelo qual a matéria tramita em r</w:t>
      </w:r>
      <w:r>
        <w:rPr>
          <w:rFonts w:eastAsia="Calibri" w:cs="Arial" w:ascii="Arial" w:hAnsi="Arial"/>
          <w:sz w:val="24"/>
          <w:szCs w:val="24"/>
        </w:rPr>
        <w:t>ito normal</w:t>
      </w:r>
      <w:r>
        <w:rPr>
          <w:rFonts w:eastAsia="Calibri" w:cs="Arial" w:ascii="Arial" w:hAnsi="Arial"/>
          <w:sz w:val="24"/>
          <w:szCs w:val="24"/>
        </w:rPr>
        <w:t>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XXV, do Art. 66 a competência do prefeito em administrar os bens do município, e no inciso III do art. 46, da competência privativa do Prefeito Municipal no tocante à organização administrativa dos serviços do município: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 w:val="false"/>
          <w:i w:val="false"/>
          <w:iCs w:val="false"/>
          <w:sz w:val="24"/>
          <w:szCs w:val="24"/>
        </w:rPr>
      </w:pPr>
      <w:r>
        <w:rPr>
          <w:rFonts w:eastAsia="Calibri" w:cs="Arial" w:ascii="Arial" w:hAnsi="Arial"/>
          <w:i w:val="false"/>
          <w:iCs w:val="false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eastAsia="Calibri" w:cs="Arial" w:ascii="Arial" w:hAnsi="Arial"/>
          <w:i w:val="false"/>
          <w:iCs w:val="false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i w:val="false"/>
          <w:i w:val="false"/>
          <w:iCs w:val="false"/>
        </w:rPr>
      </w:pPr>
      <w:r>
        <w:rPr>
          <w:rFonts w:eastAsia="Calibri" w:cs="Arial" w:ascii="Arial" w:hAnsi="Arial"/>
          <w:i w:val="false"/>
          <w:iCs w:val="fals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Quanto a matéria, o projeto tem por objetivo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aprimorar a lei municipal 4475/2013 que instituiu o programa adote uma praça, visando especialmente evitar a poluição visual e melhor distribuir os serviços ofertados.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i w:val="false"/>
          <w:i w:val="false"/>
          <w:iCs w:val="false"/>
          <w:shd w:fill="auto" w:val="clear"/>
        </w:rPr>
      </w:pPr>
      <w:r>
        <w:rPr>
          <w:rFonts w:eastAsia="Calibri" w:cs="Calibri" w:ascii="Arial" w:hAnsi="Arial"/>
          <w:i w:val="false"/>
          <w:iCs w:val="false"/>
          <w:color w:val="000000"/>
          <w:shd w:fill="auto" w:val="clear"/>
        </w:rPr>
        <w:t xml:space="preserve">O Vereador Átila apresentou emenda aditiva para que o programa também contemple a disponibilização de tomadas de energia elétrica, incrementando os serviços disponibilizados.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i w:val="false"/>
          <w:i w:val="false"/>
          <w:iCs w:val="false"/>
          <w:shd w:fill="auto" w:val="clear"/>
        </w:rPr>
      </w:pPr>
      <w:r>
        <w:rPr>
          <w:rFonts w:eastAsia="Calibri" w:cs="Calibri" w:ascii="Arial" w:hAnsi="Arial"/>
          <w:i w:val="false"/>
          <w:iCs w:val="false"/>
          <w:color w:val="000000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O projeto não incorrerá em prejuízo ao erário ou aumento de gastos, sendo </w:t>
      </w:r>
      <w:r>
        <w:rPr>
          <w:rFonts w:eastAsia="Calibri" w:cs="Calibri" w:ascii="Arial" w:hAnsi="Arial"/>
          <w:i w:val="false"/>
          <w:iCs w:val="false"/>
          <w:sz w:val="24"/>
          <w:szCs w:val="24"/>
          <w:shd w:fill="auto" w:val="clear"/>
        </w:rPr>
        <w:t xml:space="preserve">o investimento custeado por empresas interessadas na publicidade vinculada aos serviços.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i w:val="false"/>
          <w:i w:val="false"/>
          <w:iCs w:val="false"/>
          <w:shd w:fill="auto" w:val="clear"/>
        </w:rPr>
      </w:pPr>
      <w:r>
        <w:rPr>
          <w:rFonts w:eastAsia="Calibri" w:cs="Calibri" w:ascii="Arial" w:hAnsi="Arial"/>
          <w:i w:val="false"/>
          <w:iCs w:val="false"/>
          <w:color w:val="000000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 w:val="false"/>
          <w:iCs w:val="false"/>
          <w:sz w:val="24"/>
          <w:szCs w:val="24"/>
        </w:rPr>
        <w:t>Assim, a matéria não apresenta ileg</w:t>
      </w:r>
      <w:r>
        <w:rPr>
          <w:rFonts w:eastAsia="Calibri" w:cs="Arial" w:ascii="Arial" w:hAnsi="Arial"/>
          <w:sz w:val="24"/>
          <w:szCs w:val="24"/>
        </w:rPr>
        <w:t xml:space="preserve">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 xml:space="preserve">do referido projeto de Lei </w:t>
      </w:r>
      <w:r>
        <w:rPr>
          <w:rFonts w:eastAsia="Calibri" w:cs="Arial" w:ascii="Arial" w:hAnsi="Arial"/>
          <w:sz w:val="24"/>
          <w:szCs w:val="24"/>
        </w:rPr>
        <w:t>e da emenda aditiva</w:t>
      </w:r>
      <w:r>
        <w:rPr>
          <w:rFonts w:eastAsia="Calibri" w:cs="Arial" w:ascii="Arial" w:hAnsi="Arial"/>
          <w:sz w:val="24"/>
          <w:szCs w:val="24"/>
        </w:rPr>
        <w:t>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Igrejinha, </w:t>
      </w:r>
      <w:r>
        <w:rPr>
          <w:rFonts w:eastAsia="Calibri" w:cs="Arial" w:ascii="Arial" w:hAnsi="Arial"/>
          <w:sz w:val="24"/>
          <w:szCs w:val="24"/>
        </w:rPr>
        <w:t>02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 xml:space="preserve">abril </w:t>
      </w:r>
      <w:r>
        <w:rPr>
          <w:rFonts w:eastAsia="Calibri" w:cs="Arial" w:ascii="Arial" w:hAnsi="Arial"/>
          <w:sz w:val="24"/>
          <w:szCs w:val="24"/>
        </w:rPr>
        <w:t>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LibreOffice/7.4.0.3$Windows_X86_64 LibreOffice_project/f85e47c08ddd19c015c0114a68350214f7066f5a</Application>
  <AppVersion>15.0000</AppVersion>
  <Pages>2</Pages>
  <Words>561</Words>
  <Characters>3124</Characters>
  <CharactersWithSpaces>3665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2025-01-09T14:37:03Z</cp:lastPrinted>
  <dcterms:modified xsi:type="dcterms:W3CDTF">2026-04-07T13:12:39Z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