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1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7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 xml:space="preserve">Altera dispositivo na Lei nº 5.847, de 29 de dezembro de 2025 que “Dispõe sobre plano de custeio do Regime Próprio da Previdência Social dos Servidores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. 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08/05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ajustar a contribuição previdenciária ao IPREMI conforme novo cálculo atuarial.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projeto </w:t>
      </w:r>
      <w:r>
        <w:rPr>
          <w:rFonts w:ascii="Arial" w:hAnsi="Arial"/>
          <w:sz w:val="24"/>
          <w:szCs w:val="24"/>
        </w:rPr>
        <w:t xml:space="preserve">não impacta o orçamento, tendo em vista que </w:t>
      </w:r>
      <w:r>
        <w:rPr>
          <w:rFonts w:ascii="Arial" w:hAnsi="Arial"/>
          <w:sz w:val="24"/>
          <w:szCs w:val="24"/>
        </w:rPr>
        <w:t xml:space="preserve">houve redução da contribuição. 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ourier New" w:ascii="Arial" w:hAnsi="Arial"/>
          <w:b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cs="Courier New" w:ascii="Arial" w:hAnsi="Arial"/>
        </w:rPr>
        <w:t>Vereador</w:t>
      </w:r>
      <w:r>
        <w:rPr>
          <w:rFonts w:cs="Courier New" w:ascii="Arial" w:hAnsi="Arial"/>
          <w:b/>
        </w:rPr>
        <w:t xml:space="preserve">  </w:t>
      </w:r>
      <w:r>
        <w:rPr>
          <w:rFonts w:cs="Courier New" w:ascii="Arial" w:hAnsi="Arial"/>
          <w:b/>
          <w:szCs w:val="24"/>
        </w:rPr>
        <w:t>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eastAsia="Calibri" w:cs="Courier New" w:ascii="Arial" w:hAnsi="Arial"/>
        </w:rPr>
        <w:t xml:space="preserve">Vice-Presidente da COFCP </w:t>
      </w:r>
      <w:r>
        <w:rPr>
          <w:rFonts w:eastAsia="Calibri" w:cs="Arial" w:ascii="Arial" w:hAnsi="Arial"/>
          <w:b w:val="false"/>
          <w:bCs w:val="false"/>
          <w:sz w:val="22"/>
          <w:szCs w:val="22"/>
        </w:rPr>
        <w:t>e Relatora do Projeto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alibri" w:ascii="Arial" w:hAnsi="Arial"/>
          <w:b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Secretário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Vereador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ELITON JULIANO FREITAG </w:t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Membro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LibreOffice/7.4.0.3$Windows_X86_64 LibreOffice_project/f85e47c08ddd19c015c0114a68350214f7066f5a</Application>
  <AppVersion>15.0000</AppVersion>
  <Pages>1</Pages>
  <Words>230</Words>
  <Characters>1290</Characters>
  <CharactersWithSpaces>1506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2026-05-19T13:57:37Z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