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jc w:val="center"/>
        <w:rPr>
          <w:rFonts w:ascii="Arial" w:hAnsi="Arial" w:eastAsia="Calibri" w:cs="Arial"/>
          <w:b/>
          <w:b/>
          <w:color w:val="000000"/>
          <w:u w:val="single"/>
        </w:rPr>
      </w:pPr>
      <w:r>
        <w:rPr>
          <w:rFonts w:eastAsia="Calibri" w:cs="Arial" w:ascii="Arial" w:hAnsi="Arial"/>
          <w:b/>
          <w:color w:val="000000"/>
          <w:u w:val="single"/>
        </w:rPr>
      </w:r>
    </w:p>
    <w:p>
      <w:pPr>
        <w:pStyle w:val="Normal"/>
        <w:keepNext w:val="true"/>
        <w:jc w:val="center"/>
        <w:rPr>
          <w:rFonts w:ascii="Arial" w:hAnsi="Arial"/>
        </w:rPr>
      </w:pPr>
      <w:r>
        <w:rPr>
          <w:rFonts w:eastAsia="Calibri" w:cs="Arial" w:ascii="Arial" w:hAnsi="Arial"/>
          <w:b/>
          <w:color w:val="000000"/>
          <w:u w:val="single"/>
        </w:rPr>
        <w:t>PARECER JURÍDICO N° 56/2026</w:t>
      </w:r>
    </w:p>
    <w:p>
      <w:pPr>
        <w:pStyle w:val="Normal"/>
        <w:widowControl w:val="false"/>
        <w:jc w:val="both"/>
        <w:rPr>
          <w:rFonts w:ascii="Arial" w:hAnsi="Arial" w:eastAsia="Calibri" w:cs="Arial"/>
          <w:b/>
          <w:b/>
        </w:rPr>
      </w:pPr>
      <w:r>
        <w:rPr>
          <w:rFonts w:eastAsia="Calibri" w:cs="Arial" w:ascii="Arial" w:hAnsi="Arial"/>
          <w:b/>
        </w:rPr>
      </w:r>
    </w:p>
    <w:p>
      <w:pPr>
        <w:pStyle w:val="Normal"/>
        <w:widowControl w:val="false"/>
        <w:jc w:val="both"/>
        <w:rPr>
          <w:rFonts w:ascii="Arial" w:hAnsi="Arial" w:eastAsia="Calibri" w:cs="Arial"/>
          <w:b/>
          <w:b/>
        </w:rPr>
      </w:pPr>
      <w:r>
        <w:rPr>
          <w:rFonts w:eastAsia="Calibri" w:cs="Arial" w:ascii="Arial" w:hAnsi="Arial"/>
          <w:b/>
        </w:rPr>
      </w:r>
    </w:p>
    <w:p>
      <w:pPr>
        <w:pStyle w:val="Normal"/>
        <w:widowControl w:val="false"/>
        <w:jc w:val="both"/>
        <w:rPr>
          <w:rFonts w:ascii="Arial" w:hAnsi="Arial" w:eastAsia="Calibri" w:cs="Arial"/>
          <w:b/>
          <w:b/>
        </w:rPr>
      </w:pPr>
      <w:r>
        <w:rPr>
          <w:rFonts w:eastAsia="Calibri" w:cs="Arial" w:ascii="Arial" w:hAnsi="Arial"/>
          <w:b/>
        </w:rPr>
      </w:r>
    </w:p>
    <w:p>
      <w:pPr>
        <w:pStyle w:val="Normal"/>
        <w:widowControl w:val="false"/>
        <w:jc w:val="both"/>
        <w:rPr/>
      </w:pPr>
      <w:r>
        <w:rPr>
          <w:rFonts w:eastAsia="Calibri" w:cs="Arial" w:ascii="Arial" w:hAnsi="Arial"/>
          <w:b/>
          <w:color w:val="000000"/>
        </w:rPr>
        <w:t>MATÉRIA: Projeto de Lei do Legislativo nº 018/2026</w:t>
      </w:r>
    </w:p>
    <w:p>
      <w:pPr>
        <w:pStyle w:val="Normal"/>
        <w:widowControl w:val="false"/>
        <w:jc w:val="both"/>
        <w:rPr>
          <w:rFonts w:ascii="Arial" w:hAnsi="Arial" w:eastAsia="Calibri" w:cs="Arial"/>
          <w:b/>
          <w:b/>
        </w:rPr>
      </w:pPr>
      <w:r>
        <w:rPr>
          <w:rFonts w:eastAsia="Calibri" w:cs="Arial" w:ascii="Arial" w:hAnsi="Arial"/>
          <w:b/>
        </w:rPr>
        <w:t>AUTORIA: Vereadores Neidi Ione Roos Zeni.</w:t>
      </w:r>
    </w:p>
    <w:p>
      <w:pPr>
        <w:pStyle w:val="Normal"/>
        <w:jc w:val="both"/>
        <w:rPr/>
      </w:pPr>
      <w:r>
        <w:rPr>
          <w:rFonts w:eastAsia="Calibri" w:cs="Arial" w:ascii="Arial" w:hAnsi="Arial"/>
          <w:b/>
          <w:bCs/>
          <w:i/>
          <w:iCs/>
          <w:color w:val="333333"/>
          <w:highlight w:val="white"/>
        </w:rPr>
        <w:t xml:space="preserve">EMENTA: </w:t>
      </w: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  <w:lang w:val="pt-BR"/>
        </w:rPr>
        <w:t>"Institui o ‘Dia Municipal de Luta pelo Fim da Violência contra a Mulher’ no âmbito do Município de Igrejinha.</w:t>
      </w:r>
    </w:p>
    <w:p>
      <w:pPr>
        <w:pStyle w:val="Normal"/>
        <w:widowControl w:val="false"/>
        <w:jc w:val="both"/>
        <w:rPr/>
      </w:pPr>
      <w:r>
        <w:rPr>
          <w:rFonts w:eastAsia="Calibri" w:cs="Arial" w:ascii="Arial" w:hAnsi="Arial"/>
          <w:bCs/>
          <w:lang w:val="de-DE"/>
        </w:rPr>
        <w:t>Protocolado em 11/03/2026</w:t>
      </w:r>
    </w:p>
    <w:p>
      <w:pPr>
        <w:pStyle w:val="Normal"/>
        <w:widowControl w:val="false"/>
        <w:jc w:val="both"/>
        <w:rPr/>
      </w:pPr>
      <w:r>
        <w:rPr>
          <w:rFonts w:eastAsia="Calibri" w:cs="Arial" w:ascii="Arial" w:hAnsi="Arial"/>
          <w:bCs/>
          <w:lang w:val="de-DE"/>
        </w:rPr>
        <w:t>Encaminhado à Comissão na 7ª S.O.</w:t>
      </w:r>
    </w:p>
    <w:p>
      <w:pPr>
        <w:pStyle w:val="Normal"/>
        <w:widowControl w:val="false"/>
        <w:jc w:val="both"/>
        <w:rPr>
          <w:rFonts w:ascii="Arial" w:hAnsi="Arial" w:eastAsia="Calibri" w:cs="Arial"/>
          <w:b/>
          <w:b/>
          <w:bCs/>
          <w:color w:val="000000"/>
          <w:lang w:val="de-DE"/>
        </w:rPr>
      </w:pPr>
      <w:r>
        <w:rPr>
          <w:rFonts w:eastAsia="Calibri" w:cs="Calibri" w:ascii="Arial" w:hAnsi="Arial" w:cstheme="majorHAnsi"/>
          <w:b/>
          <w:bCs/>
          <w:color w:val="000000"/>
          <w:lang w:val="de-DE"/>
        </w:rPr>
        <w:t>Rito Normal</w:t>
      </w:r>
    </w:p>
    <w:p>
      <w:pPr>
        <w:pStyle w:val="Normal"/>
        <w:widowControl w:val="false"/>
        <w:jc w:val="both"/>
        <w:rPr>
          <w:rFonts w:eastAsia="Calibri" w:cs="Calibri" w:cstheme="majorHAnsi"/>
          <w:bCs/>
          <w:lang w:val="de-DE"/>
        </w:rPr>
      </w:pPr>
      <w:r>
        <w:rPr>
          <w:rFonts w:eastAsia="Calibri" w:cs="Calibri" w:cstheme="majorHAnsi"/>
          <w:bCs/>
          <w:lang w:val="de-DE"/>
        </w:rPr>
      </w:r>
    </w:p>
    <w:p>
      <w:pPr>
        <w:pStyle w:val="Normal"/>
        <w:jc w:val="both"/>
        <w:rPr>
          <w:rFonts w:ascii="Arial" w:hAnsi="Arial" w:eastAsia="Calibri" w:cs="Calibri"/>
          <w:b/>
          <w:b/>
        </w:rPr>
      </w:pPr>
      <w:r>
        <w:rPr>
          <w:rFonts w:eastAsia="Calibri" w:cs="Calibri" w:ascii="Arial" w:hAnsi="Arial"/>
          <w:b/>
        </w:rPr>
      </w:r>
    </w:p>
    <w:p>
      <w:pPr>
        <w:pStyle w:val="LOnormal"/>
        <w:widowControl w:val="false"/>
        <w:jc w:val="both"/>
        <w:rPr>
          <w:rFonts w:ascii="Arial" w:hAnsi="Arial"/>
        </w:rPr>
      </w:pPr>
      <w:r>
        <w:rPr>
          <w:rFonts w:eastAsia="Calibri" w:cs="Calibri" w:ascii="Arial" w:hAnsi="Arial"/>
          <w:b/>
          <w:u w:val="single"/>
        </w:rPr>
        <w:t>I – RELATÓRIO</w:t>
      </w:r>
    </w:p>
    <w:p>
      <w:pPr>
        <w:pStyle w:val="LOnormal"/>
        <w:widowControl w:val="false"/>
        <w:jc w:val="both"/>
        <w:rPr>
          <w:rFonts w:ascii="Arial" w:hAnsi="Arial" w:eastAsia="Calibri" w:cs="Calibri"/>
          <w:b/>
          <w:b/>
          <w:u w:val="single"/>
        </w:rPr>
      </w:pPr>
      <w:r>
        <w:rPr>
          <w:rFonts w:eastAsia="Calibri" w:cs="Calibri" w:ascii="Arial" w:hAnsi="Arial"/>
          <w:b/>
          <w:u w:val="single"/>
        </w:rPr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cs="Calibri" w:ascii="Arial" w:hAnsi="Arial"/>
        </w:rPr>
        <w:t xml:space="preserve">A mesa Diretora da Câmara de Vereadores de Igrejinha encaminhou, nesta data, para essa Procuradoria Jurídica pedido de análise e emissão de parecer jurídico de Projeto de Lei do Legislativo, de autoria de vereador. 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cs="Calibri" w:ascii="Arial" w:hAnsi="Arial"/>
        </w:rPr>
        <w:t>É o sucinto relatório.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cs="Calibri" w:ascii="Arial" w:hAnsi="Arial"/>
        </w:rPr>
        <w:t>Passo à análise jurídica.</w:t>
      </w:r>
    </w:p>
    <w:p>
      <w:pPr>
        <w:pStyle w:val="LOnormal"/>
        <w:widowControl w:val="false"/>
        <w:jc w:val="both"/>
        <w:rPr>
          <w:rFonts w:ascii="Arial" w:hAnsi="Arial" w:eastAsia="Calibri" w:cs="Calibri"/>
          <w:b/>
          <w:b/>
        </w:rPr>
      </w:pPr>
      <w:r>
        <w:rPr>
          <w:rFonts w:eastAsia="Calibri" w:cs="Calibri" w:ascii="Arial" w:hAnsi="Arial"/>
          <w:b/>
        </w:rPr>
      </w:r>
    </w:p>
    <w:p>
      <w:pPr>
        <w:pStyle w:val="LOnormal"/>
        <w:widowControl w:val="false"/>
        <w:jc w:val="both"/>
        <w:rPr>
          <w:rFonts w:ascii="Arial" w:hAnsi="Arial"/>
        </w:rPr>
      </w:pPr>
      <w:r>
        <w:rPr>
          <w:rFonts w:eastAsia="Calibri" w:cs="Calibri" w:ascii="Arial" w:hAnsi="Arial"/>
          <w:b/>
          <w:u w:val="single"/>
        </w:rPr>
        <w:t>II – ANÁLISE JURÍDICA</w:t>
      </w:r>
    </w:p>
    <w:p>
      <w:pPr>
        <w:pStyle w:val="LOnormal"/>
        <w:widowControl w:val="false"/>
        <w:jc w:val="both"/>
        <w:rPr>
          <w:rFonts w:ascii="Arial" w:hAnsi="Arial"/>
        </w:rPr>
      </w:pPr>
      <w:r>
        <w:rPr>
          <w:rFonts w:eastAsia="Calibri" w:cs="Calibri" w:ascii="Arial" w:hAnsi="Arial"/>
          <w:b/>
        </w:rPr>
        <w:t xml:space="preserve"> </w:t>
      </w:r>
    </w:p>
    <w:p>
      <w:pPr>
        <w:pStyle w:val="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cs="Calibri" w:ascii="Arial" w:hAnsi="Arial"/>
        </w:rPr>
        <w:t>Quanto ao rito processual, a matéria não comporta regime de urgência, motivo pelo qual segue o rito normal.</w:t>
      </w:r>
    </w:p>
    <w:p>
      <w:pPr>
        <w:pStyle w:val="LOnormal"/>
        <w:widowControl w:val="false"/>
        <w:ind w:firstLine="850"/>
        <w:jc w:val="both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"/>
        <w:widowControl w:val="false"/>
        <w:ind w:firstLine="850"/>
        <w:jc w:val="both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"/>
        <w:widowControl w:val="false"/>
        <w:jc w:val="both"/>
        <w:rPr>
          <w:rFonts w:ascii="Arial" w:hAnsi="Arial"/>
        </w:rPr>
      </w:pPr>
      <w:r>
        <w:rPr>
          <w:rFonts w:eastAsia="Calibri" w:cs="Calibri" w:ascii="Arial" w:hAnsi="Arial"/>
          <w:b/>
        </w:rPr>
        <w:t>Da Competência e iniciativa</w:t>
      </w:r>
    </w:p>
    <w:p>
      <w:pPr>
        <w:pStyle w:val="LOnormal"/>
        <w:widowControl w:val="false"/>
        <w:ind w:firstLine="850"/>
        <w:jc w:val="both"/>
        <w:rPr>
          <w:rFonts w:ascii="Arial" w:hAnsi="Arial" w:eastAsia="Calibri" w:cs="Calibri"/>
          <w:b/>
          <w:b/>
        </w:rPr>
      </w:pPr>
      <w:r>
        <w:rPr>
          <w:rFonts w:eastAsia="Calibri" w:cs="Calibri" w:ascii="Arial" w:hAnsi="Arial"/>
          <w:b/>
        </w:rPr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cs="Calibri" w:ascii="Arial" w:hAnsi="Arial"/>
        </w:rPr>
        <w:t xml:space="preserve">Em primeiro momento analisamos a competência quanto a esfera de poder (União, Estado, Município) para proposição do referido Projeto de Lei e, portanto, cumpre dizer que este Projeto tem a utilização legítima da competência legislativa disposta para os Municípios no inciso I, do art. 30, da CF/88, como segue: </w:t>
      </w:r>
    </w:p>
    <w:p>
      <w:pPr>
        <w:pStyle w:val="LOnormal"/>
        <w:widowControl w:val="false"/>
        <w:ind w:firstLine="850"/>
        <w:jc w:val="both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cs="Calibri" w:ascii="Arial" w:hAnsi="Arial"/>
          <w:i/>
        </w:rPr>
        <w:t>“</w:t>
      </w:r>
      <w:r>
        <w:rPr>
          <w:rFonts w:eastAsia="Calibri" w:cs="Calibri" w:ascii="Arial" w:hAnsi="Arial"/>
          <w:i/>
        </w:rPr>
        <w:t>Art. 30. Compete aos Municípios: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cs="Calibri" w:ascii="Arial" w:hAnsi="Arial"/>
          <w:i/>
        </w:rPr>
        <w:t>I - legislar sobre assuntos de interesse local; [...]</w:t>
      </w:r>
    </w:p>
    <w:p>
      <w:pPr>
        <w:pStyle w:val="LOnormal"/>
        <w:widowControl w:val="false"/>
        <w:ind w:firstLine="850"/>
        <w:jc w:val="both"/>
        <w:rPr>
          <w:rFonts w:ascii="Arial" w:hAnsi="Arial" w:eastAsia="Calibri" w:cs="Calibri"/>
          <w:i/>
          <w:i/>
        </w:rPr>
      </w:pPr>
      <w:r>
        <w:rPr>
          <w:rFonts w:eastAsia="Calibri" w:cs="Calibri" w:ascii="Arial" w:hAnsi="Arial"/>
          <w:i/>
        </w:rPr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cs="Calibri" w:ascii="Arial" w:hAnsi="Arial"/>
        </w:rPr>
        <w:t xml:space="preserve">Também verificamos que os Vereadores fazem uso da prerrogativa a eles reconhecida pela Lei Orgânica de Igrejinha para propor o Projeto de Lei, conforme artigo 56 da LOM, de modo que, nada há quanto a este requisito que possa macular a constitucionalidade do respectivo projeto de lei.  </w:t>
      </w:r>
    </w:p>
    <w:p>
      <w:pPr>
        <w:pStyle w:val="LOnormal"/>
        <w:widowControl w:val="false"/>
        <w:ind w:firstLine="850"/>
        <w:jc w:val="both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"/>
        <w:widowControl w:val="false"/>
        <w:ind w:firstLine="850"/>
        <w:jc w:val="both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  <w:t xml:space="preserve">Quanto à matéria, pretende o Legislativo instituir data alusiva à luta contra a Violência da mulher, como forma de reforçar o compromisso pela igualdade de gênero. </w:t>
      </w:r>
    </w:p>
    <w:p>
      <w:pPr>
        <w:pStyle w:val="LOnormal"/>
        <w:widowControl w:val="false"/>
        <w:ind w:firstLine="850"/>
        <w:jc w:val="both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cs="Calibri" w:ascii="Arial" w:hAnsi="Arial"/>
        </w:rPr>
        <w:t xml:space="preserve">Nesse contexto, a respeito de competência legislativa para dispor sobre criação de datas comemorativas, </w:t>
      </w:r>
      <w:r>
        <w:rPr>
          <w:rFonts w:eastAsia="Calibri" w:cs="Calibri" w:ascii="Arial" w:hAnsi="Arial"/>
        </w:rPr>
        <w:t>cabe citar a</w:t>
      </w:r>
      <w:r>
        <w:rPr>
          <w:rFonts w:eastAsia="Calibri" w:cs="Calibri" w:ascii="Arial" w:hAnsi="Arial"/>
        </w:rPr>
        <w:t xml:space="preserve"> Ação Direta de Inconstitucionalidade 700575198861, </w:t>
      </w:r>
      <w:r>
        <w:rPr>
          <w:rFonts w:eastAsia="Calibri" w:cs="Calibri" w:ascii="Arial" w:hAnsi="Arial"/>
        </w:rPr>
        <w:t xml:space="preserve">na qual </w:t>
      </w:r>
      <w:r>
        <w:rPr>
          <w:rFonts w:eastAsia="Calibri" w:cs="Calibri" w:ascii="Arial" w:hAnsi="Arial"/>
        </w:rPr>
        <w:t xml:space="preserve">o TJRS, admitiu que, por meio de iniciativa parlamentar, poderiam ser propostas tais datas, desde que, sob a condição não serem incluídas no Calendário Oficial de Eventos do Município. </w:t>
      </w:r>
    </w:p>
    <w:p>
      <w:pPr>
        <w:pStyle w:val="LOnormal"/>
        <w:widowControl w:val="false"/>
        <w:ind w:firstLine="850"/>
        <w:jc w:val="both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cs="Calibri" w:ascii="Arial" w:hAnsi="Arial"/>
        </w:rPr>
        <w:t>Ainda, é importante distinguir o Calendário de Oficial de Eventos do Município, que é criado por uma lei específica, e que lista as celebrações vinculadas ao Executivo local, do Calendário Oficial do Município, que inclui todas as datas reconhecidas pelo Poder Público, sem obrigação de organização de eventos a elas atrelados.</w:t>
      </w:r>
    </w:p>
    <w:p>
      <w:pPr>
        <w:pStyle w:val="LOnormal"/>
        <w:widowControl w:val="false"/>
        <w:ind w:firstLine="850"/>
        <w:jc w:val="both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cs="Calibri" w:ascii="Arial" w:hAnsi="Arial"/>
        </w:rPr>
        <w:t xml:space="preserve">A lei de iniciativa parlamentar que inclua data no calendário oficial de eventos cria para o Poder Executivo a obrigação de realizar atividades alusivas à aquela data, invadindo a sua competência privativa, e assim violando o princípio da separação dos poderes. O projeto em análise, não requer a inclusão da determinada data no calendário oficial de eventos do município, logo, encontra respaldo na orientação jurisprudencial. </w:t>
      </w:r>
    </w:p>
    <w:p>
      <w:pPr>
        <w:pStyle w:val="LOnormal"/>
        <w:widowControl w:val="false"/>
        <w:ind w:firstLine="68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widowControl w:val="false"/>
        <w:ind w:firstLine="850"/>
        <w:jc w:val="both"/>
        <w:rPr>
          <w:rFonts w:ascii="Arial" w:hAnsi="Arial" w:cs="Calibri"/>
        </w:rPr>
      </w:pPr>
      <w:r>
        <w:rPr>
          <w:rFonts w:cs="Calibri" w:ascii="Arial" w:hAnsi="Arial"/>
        </w:rPr>
        <w:t>Ademais, atendendo orientação técnica do IGAM, a autora apresentou substitutivo adequando o projeto conforme apontamentos da assessoria externa.</w:t>
      </w:r>
    </w:p>
    <w:p>
      <w:pPr>
        <w:pStyle w:val="LOnormal"/>
        <w:widowControl w:val="false"/>
        <w:ind w:firstLine="850"/>
        <w:jc w:val="both"/>
        <w:rPr>
          <w:rFonts w:ascii="Arial" w:hAnsi="Arial" w:eastAsia="Calibri" w:cs="Calibri"/>
          <w:b/>
          <w:b/>
          <w:u w:val="single"/>
        </w:rPr>
      </w:pPr>
      <w:r>
        <w:rPr>
          <w:rFonts w:eastAsia="Calibri" w:cs="Calibri" w:ascii="Arial" w:hAnsi="Arial"/>
          <w:b/>
          <w:u w:val="single"/>
        </w:rPr>
      </w:r>
    </w:p>
    <w:p>
      <w:pPr>
        <w:pStyle w:val="LOnormal"/>
        <w:jc w:val="both"/>
        <w:rPr>
          <w:rFonts w:ascii="Arial" w:hAnsi="Arial"/>
        </w:rPr>
      </w:pPr>
      <w:r>
        <w:rPr>
          <w:rFonts w:eastAsia="Calibri" w:cs="Calibri" w:ascii="Arial" w:hAnsi="Arial"/>
          <w:b/>
          <w:u w:val="single"/>
        </w:rPr>
        <w:t>III – CONCLUSÃO</w:t>
      </w:r>
      <w:r>
        <w:rPr>
          <w:rFonts w:eastAsia="Calibri" w:cs="Calibri" w:ascii="Arial" w:hAnsi="Arial"/>
          <w:b/>
        </w:rPr>
        <w:t xml:space="preserve"> </w:t>
      </w:r>
    </w:p>
    <w:p>
      <w:pPr>
        <w:pStyle w:val="LOnormal"/>
        <w:ind w:left="2260" w:firstLine="7"/>
        <w:jc w:val="both"/>
        <w:rPr>
          <w:rFonts w:ascii="Arial" w:hAnsi="Arial" w:eastAsia="Calibri" w:cs="Calibri"/>
          <w:i/>
          <w:i/>
        </w:rPr>
      </w:pPr>
      <w:r>
        <w:rPr>
          <w:rFonts w:eastAsia="Calibri" w:cs="Calibri" w:ascii="Arial" w:hAnsi="Arial"/>
          <w:i/>
        </w:rPr>
      </w:r>
    </w:p>
    <w:p>
      <w:pPr>
        <w:pStyle w:val="LOnormal"/>
        <w:ind w:firstLine="850"/>
        <w:jc w:val="both"/>
        <w:rPr>
          <w:rFonts w:ascii="Arial" w:hAnsi="Arial"/>
        </w:rPr>
      </w:pPr>
      <w:r>
        <w:rPr>
          <w:rFonts w:eastAsia="Calibri" w:cs="Calibri" w:ascii="Arial" w:hAnsi="Arial"/>
        </w:rPr>
        <w:t xml:space="preserve">Assim sendo, esta Assessoria Jurídica opina pela </w:t>
      </w:r>
      <w:r>
        <w:rPr>
          <w:rFonts w:eastAsia="Calibri" w:cs="Calibri" w:ascii="Arial" w:hAnsi="Arial"/>
          <w:b/>
          <w:i/>
        </w:rPr>
        <w:t xml:space="preserve">legalidade </w:t>
      </w:r>
      <w:r>
        <w:rPr>
          <w:rFonts w:eastAsia="Calibri" w:cs="Calibri" w:ascii="Arial" w:hAnsi="Arial"/>
        </w:rPr>
        <w:t>e</w:t>
      </w:r>
      <w:r>
        <w:rPr>
          <w:rFonts w:eastAsia="Calibri" w:cs="Calibri" w:ascii="Arial" w:hAnsi="Arial"/>
          <w:b/>
          <w:i/>
        </w:rPr>
        <w:t xml:space="preserve"> constitucionalidade</w:t>
      </w:r>
      <w:r>
        <w:rPr>
          <w:rFonts w:eastAsia="Calibri" w:cs="Calibri" w:ascii="Arial" w:hAnsi="Arial"/>
          <w:i/>
        </w:rPr>
        <w:t xml:space="preserve"> </w:t>
      </w:r>
      <w:r>
        <w:rPr>
          <w:rFonts w:eastAsia="Calibri" w:cs="Calibri" w:ascii="Arial" w:hAnsi="Arial"/>
        </w:rPr>
        <w:t xml:space="preserve">do referido </w:t>
      </w:r>
      <w:r>
        <w:rPr>
          <w:rFonts w:eastAsia="Calibri" w:cs="Calibri" w:ascii="Arial" w:hAnsi="Arial"/>
          <w:b/>
          <w:bCs/>
          <w:u w:val="single"/>
        </w:rPr>
        <w:t xml:space="preserve">Substitutivo </w:t>
      </w:r>
      <w:r>
        <w:rPr>
          <w:rFonts w:eastAsia="Calibri" w:cs="Calibri" w:ascii="Arial" w:hAnsi="Arial"/>
        </w:rPr>
        <w:t>do Projeto de Lei, tendo em vista que em análise não se observou qualquer vício em sua redação.</w:t>
      </w:r>
    </w:p>
    <w:p>
      <w:pPr>
        <w:pStyle w:val="LOnormal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ind w:firstLine="850"/>
        <w:jc w:val="both"/>
        <w:rPr>
          <w:rFonts w:ascii="Arial" w:hAnsi="Arial"/>
        </w:rPr>
      </w:pPr>
      <w:r>
        <w:rPr>
          <w:rFonts w:eastAsia="Calibri" w:cs="Calibri" w:ascii="Arial" w:hAnsi="Arial"/>
        </w:rPr>
        <w:t>Portanto, no que diz respeito ao mérito, a Procuradoria Jurídica não irá se pronunciar, pois caberá aos vereadores, no uso da função legislativa, verificar a viabilidade da aprovação, respeitando-se para tanto, as formalidades legais e regimentais.</w:t>
      </w:r>
    </w:p>
    <w:p>
      <w:pPr>
        <w:pStyle w:val="LOnormal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ind w:firstLine="850"/>
        <w:jc w:val="both"/>
        <w:rPr>
          <w:rFonts w:ascii="Arial" w:hAnsi="Arial"/>
        </w:rPr>
      </w:pPr>
      <w:r>
        <w:rPr>
          <w:rFonts w:eastAsia="Calibri" w:cs="Calibri" w:ascii="Arial" w:hAnsi="Arial"/>
        </w:rPr>
        <w:t>Este é o parecer.</w:t>
      </w:r>
    </w:p>
    <w:p>
      <w:pPr>
        <w:pStyle w:val="LOnormal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850"/>
        <w:jc w:val="both"/>
        <w:rPr>
          <w:rFonts w:ascii="Arial" w:hAnsi="Arial"/>
        </w:rPr>
      </w:pPr>
      <w:r>
        <w:rPr>
          <w:rFonts w:eastAsia="Calibri" w:cs="Calibri" w:ascii="Arial" w:hAnsi="Arial" w:cstheme="majorHAnsi"/>
        </w:rPr>
        <w:t>Igrejinha, 02 de junho de 2026.</w:t>
      </w:r>
    </w:p>
    <w:p>
      <w:pPr>
        <w:pStyle w:val="Normal"/>
        <w:ind w:firstLine="850"/>
        <w:jc w:val="both"/>
        <w:rPr>
          <w:rFonts w:ascii="Arial" w:hAnsi="Arial" w:eastAsia="Calibri" w:cs="Calibri" w:cstheme="majorHAnsi"/>
          <w:b/>
          <w:b/>
        </w:rPr>
      </w:pPr>
      <w:r>
        <w:rPr>
          <w:rFonts w:eastAsia="Calibri" w:cs="Calibri" w:cstheme="majorHAnsi" w:ascii="Arial" w:hAnsi="Arial"/>
          <w:b/>
        </w:rPr>
      </w:r>
    </w:p>
    <w:p>
      <w:pPr>
        <w:pStyle w:val="Normal"/>
        <w:ind w:firstLine="850"/>
        <w:jc w:val="both"/>
        <w:rPr>
          <w:rFonts w:ascii="Arial" w:hAnsi="Arial" w:eastAsia="Calibri" w:cs="Calibri" w:cstheme="majorHAnsi"/>
          <w:b/>
          <w:b/>
        </w:rPr>
      </w:pPr>
      <w:r>
        <w:rPr>
          <w:rFonts w:eastAsia="Calibri" w:cs="Calibri" w:cstheme="majorHAnsi" w:ascii="Arial" w:hAnsi="Arial"/>
          <w:b/>
        </w:rPr>
      </w:r>
    </w:p>
    <w:p>
      <w:pPr>
        <w:pStyle w:val="Normal"/>
        <w:ind w:firstLine="850"/>
        <w:jc w:val="both"/>
        <w:rPr>
          <w:rFonts w:ascii="Arial" w:hAnsi="Arial" w:eastAsia="Calibri" w:cs="Calibri" w:cstheme="majorHAnsi"/>
          <w:b/>
          <w:b/>
        </w:rPr>
      </w:pPr>
      <w:r>
        <w:rPr>
          <w:rFonts w:eastAsia="Calibri" w:cs="Calibri" w:cstheme="majorHAnsi" w:ascii="Arial" w:hAnsi="Arial"/>
          <w:b/>
        </w:rPr>
      </w:r>
    </w:p>
    <w:p>
      <w:pPr>
        <w:pStyle w:val="Normal"/>
        <w:ind w:firstLine="850"/>
        <w:jc w:val="both"/>
        <w:rPr>
          <w:rFonts w:ascii="Arial" w:hAnsi="Arial" w:eastAsia="Calibri" w:cs="Calibri" w:cstheme="majorHAnsi"/>
          <w:b/>
          <w:b/>
        </w:rPr>
      </w:pPr>
      <w:r>
        <w:rPr>
          <w:rFonts w:eastAsia="Calibri" w:cs="Calibri" w:cstheme="majorHAnsi" w:ascii="Arial" w:hAnsi="Arial"/>
          <w:b/>
        </w:rPr>
      </w:r>
    </w:p>
    <w:p>
      <w:pPr>
        <w:pStyle w:val="Normal"/>
        <w:ind w:firstLine="850"/>
        <w:jc w:val="both"/>
        <w:rPr>
          <w:rFonts w:ascii="Arial" w:hAnsi="Arial"/>
        </w:rPr>
      </w:pPr>
      <w:r>
        <w:rPr>
          <w:rFonts w:eastAsia="Calibri" w:cs="Calibri" w:ascii="Arial" w:hAnsi="Arial" w:cstheme="majorHAnsi"/>
          <w:b/>
        </w:rPr>
        <w:t xml:space="preserve">Anderson Fidelis de Araujo </w:t>
      </w:r>
    </w:p>
    <w:p>
      <w:pPr>
        <w:pStyle w:val="Normal"/>
        <w:ind w:left="590" w:firstLine="850"/>
        <w:jc w:val="both"/>
        <w:rPr>
          <w:rFonts w:ascii="Arial" w:hAnsi="Arial"/>
        </w:rPr>
      </w:pPr>
      <w:r>
        <w:rPr>
          <w:rFonts w:eastAsia="Calibri" w:cs="Calibri" w:ascii="Arial" w:hAnsi="Arial" w:cstheme="majorHAnsi"/>
        </w:rPr>
        <w:t>Assessor Jurídico</w:t>
      </w:r>
    </w:p>
    <w:p>
      <w:pPr>
        <w:pStyle w:val="Normal"/>
        <w:ind w:left="590" w:firstLine="850"/>
        <w:jc w:val="both"/>
        <w:rPr>
          <w:rFonts w:ascii="Arial" w:hAnsi="Arial"/>
        </w:rPr>
      </w:pPr>
      <w:r>
        <w:rPr>
          <w:rFonts w:eastAsia="Calibri" w:cs="Calibri" w:ascii="Arial" w:hAnsi="Arial" w:cstheme="majorHAnsi"/>
        </w:rPr>
        <w:t>OAB/RS 58.063.</w:t>
      </w:r>
    </w:p>
    <w:p>
      <w:pPr>
        <w:pStyle w:val="Normal"/>
        <w:jc w:val="both"/>
        <w:rPr>
          <w:rFonts w:ascii="Arial" w:hAnsi="Arial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963" w:gutter="0" w:header="708" w:top="2095" w:footer="708" w:bottom="1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  <w:t xml:space="preserve"> “</w:t>
    </w:r>
    <w:r>
      <w:rPr>
        <w:rFonts w:eastAsia="Arial" w:cs="Arial" w:ascii="Arial" w:hAnsi="Arial"/>
        <w:color w:val="000000"/>
        <w:sz w:val="16"/>
        <w:szCs w:val="16"/>
      </w:rPr>
      <w:t>Doe vida: doe sangue, doe órgãos.”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hyperlink r:id="rId1">
      <w:r>
        <w:rPr>
          <w:rFonts w:eastAsia="Arial" w:cs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-1843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66675</wp:posOffset>
          </wp:positionH>
          <wp:positionV relativeFrom="paragraph">
            <wp:posOffset>-40005</wp:posOffset>
          </wp:positionV>
          <wp:extent cx="573405" cy="543560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color w:val="000000"/>
        <w:sz w:val="20"/>
        <w:szCs w:val="20"/>
      </w:rPr>
      <w:t>ESTADO DO RIO GRANDE DO SUL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color w:val="000000"/>
        <w:sz w:val="20"/>
        <w:szCs w:val="20"/>
      </w:rPr>
    </w:pPr>
    <w:r>
      <w:rPr>
        <w:rFonts w:eastAsia="Arial" w:cs="Arial" w:ascii="Arial" w:hAnsi="Arial"/>
        <w:b/>
        <w:color w:val="000000"/>
        <w:sz w:val="20"/>
        <w:szCs w:val="20"/>
      </w:rPr>
      <w:t>CÂMARA MUNICIPAL DE IGREJINHA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Rua Tiradentes, 115, Centro – CEP 95650-000 – Igrejinha RS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Fone/Fax: (51) 3545.1644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RodapChar" w:customStyle="1">
    <w:name w:val="Rodapé Char"/>
    <w:qFormat/>
    <w:rPr>
      <w:rFonts w:ascii="Times New Roman" w:hAnsi="Times New Roman" w:eastAsia="Times New Roman" w:cs="Mangal"/>
      <w:color w:val="000000"/>
      <w:sz w:val="24"/>
      <w:szCs w:val="20"/>
    </w:rPr>
  </w:style>
  <w:style w:type="character" w:styleId="UnresolvedMention">
    <w:name w:val="Unresolved Mention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96b7c"/>
    <w:pPr>
      <w:spacing w:before="0" w:after="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eastAsia="NSimSun" w:cs="Arial" w:ascii="Times New Roman" w:hAnsi="Times New Roman"/>
      <w:color w:val="auto"/>
      <w:kern w:val="0"/>
      <w:sz w:val="24"/>
      <w:szCs w:val="24"/>
      <w:lang w:eastAsia="zh-CN" w:bidi="hi-IN" w:val="pt-BR"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eastAsia="NSimSun" w:cs="Arial" w:ascii="Times New Roman" w:hAnsi="Times New Roman"/>
      <w:color w:val="auto"/>
      <w:kern w:val="0"/>
      <w:sz w:val="24"/>
      <w:szCs w:val="24"/>
      <w:lang w:eastAsia="zh-CN" w:bidi="hi-IN" w:val="pt-BR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0"/>
      <w:lang w:eastAsia="zh-CN" w:bidi="hi-IN" w:val="pt-BR"/>
    </w:rPr>
  </w:style>
  <w:style w:type="paragraph" w:styleId="Normal11" w:customStyle="1">
    <w:name w:val="normal11"/>
    <w:qFormat/>
    <w:pPr>
      <w:widowControl/>
      <w:suppressAutoHyphens w:val="true"/>
      <w:bidi w:val="0"/>
      <w:spacing w:before="0" w:after="0"/>
      <w:jc w:val="left"/>
    </w:pPr>
    <w:rPr>
      <w:rFonts w:eastAsia="NSimSun" w:cs="Arial" w:ascii="Times New Roman" w:hAnsi="Times New Roman"/>
      <w:color w:val="auto"/>
      <w:kern w:val="2"/>
      <w:sz w:val="24"/>
      <w:szCs w:val="24"/>
      <w:lang w:eastAsia="zh-CN" w:bidi="hi-IN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LibreOffice/7.4.0.3$Windows_X86_64 LibreOffice_project/f85e47c08ddd19c015c0114a68350214f7066f5a</Application>
  <AppVersion>15.0000</AppVersion>
  <DocSecurity>4</DocSecurity>
  <Pages>2</Pages>
  <Words>556</Words>
  <Characters>3080</Characters>
  <CharactersWithSpaces>3615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2026-06-02T20:09:00Z</dcterms:created>
  <dc:creator>A.F.A Advogado</dc:creator>
  <dc:description/>
  <dc:language>pt-BR</dc:language>
  <cp:lastModifiedBy/>
  <dcterms:modified xsi:type="dcterms:W3CDTF">2026-06-09T14:04:39Z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