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/>
      </w:r>
    </w:p>
    <w:p>
      <w:pPr>
        <w:pStyle w:val="Normal"/>
        <w:jc w:val="center"/>
        <w:rPr>
          <w:rFonts w:ascii="Arial" w:hAnsi="Arial"/>
        </w:rPr>
      </w:pPr>
      <w:r>
        <w:rPr/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color w:val="000000"/>
          <w:u w:val="single"/>
        </w:rPr>
        <w:t>PARECER JURÍDICO N° 055/2026</w:t>
      </w:r>
    </w:p>
    <w:p>
      <w:pPr>
        <w:pStyle w:val="Normal"/>
        <w:widowControl w:val="false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Normal"/>
        <w:widowControl w:val="false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Normal"/>
        <w:widowControl w:val="false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Arial" w:ascii="Arial" w:hAnsi="Arial"/>
          <w:b/>
          <w:color w:val="000000"/>
        </w:rPr>
        <w:t>MATÉRIA: PL</w:t>
      </w:r>
      <w:r>
        <w:rPr>
          <w:rFonts w:eastAsia="Calibri" w:cs="Calibri" w:ascii="Arial" w:hAnsi="Arial"/>
          <w:b/>
          <w:color w:val="000000"/>
        </w:rPr>
        <w:t xml:space="preserve"> 030/2026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Arial" w:ascii="Arial" w:hAnsi="Arial"/>
          <w:b/>
        </w:rPr>
        <w:t>AUTORIA: Poder Executivo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Calibri" w:cs="Arial" w:ascii="Arial" w:hAnsi="Arial"/>
          <w:b/>
          <w:bCs/>
          <w:i/>
          <w:iCs/>
          <w:color w:val="333333"/>
          <w:highlight w:val="white"/>
        </w:rPr>
        <w:t>EMENTA</w:t>
      </w:r>
      <w:r>
        <w:rPr>
          <w:rFonts w:ascii="Arial" w:hAnsi="Arial"/>
        </w:rPr>
        <w:t>"Altera dispositivos na Lei Municipal nº 5.034/2017, de 27 de outubro de 2017, que estabelece regras para a supressão e o transplante de espécimes vegetais no Município de Igrejinha, bem como define critérios para a realização das compensações ambientais obrigatórias, e dá outras providências, inerentes a Lei Federal nº 11.428/2006 e Instrução Normativa SEMA nº 01/2018".</w:t>
      </w:r>
      <w:r>
        <w:rPr>
          <w:rFonts w:eastAsia="Calibri" w:cs="Calibri" w:ascii="Arial" w:hAnsi="Arial" w:cstheme="majorHAnsi"/>
          <w:bCs/>
          <w:i/>
          <w:iCs/>
          <w:color w:val="333333"/>
        </w:rPr>
        <w:t xml:space="preserve">; 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  <w:bCs/>
          <w:lang w:val="de-DE"/>
        </w:rPr>
        <w:t>Protocolado em 25/05/2026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  <w:bCs/>
          <w:lang w:val="de-DE"/>
        </w:rPr>
        <w:t>Encaminhado à Comissão na 16ª SO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  <w:b/>
          <w:bCs/>
          <w:color w:val="000000"/>
          <w:lang w:val="de-DE"/>
        </w:rPr>
        <w:t xml:space="preserve">Rito URGÊNCIA </w:t>
      </w:r>
    </w:p>
    <w:p>
      <w:pPr>
        <w:pStyle w:val="Normal"/>
        <w:widowControl w:val="false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  <w:u w:val="single"/>
        </w:rPr>
        <w:t>I – RELATÓRIO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  <w:u w:val="single"/>
        </w:rPr>
      </w:pPr>
      <w:r>
        <w:rPr>
          <w:rFonts w:eastAsia="Calibri" w:cs="Calibri" w:ascii="Arial" w:hAnsi="Arial"/>
          <w:b/>
          <w:u w:val="single"/>
        </w:rPr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  <w:u w:val="single"/>
        </w:rPr>
      </w:pPr>
      <w:r>
        <w:rPr>
          <w:rFonts w:eastAsia="Calibri" w:cs="Calibri" w:ascii="Arial" w:hAnsi="Arial"/>
          <w:b/>
          <w:u w:val="single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É o sucinto relatório.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Passo à análise jurídica.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  <w:u w:val="single"/>
        </w:rPr>
        <w:t>II – ANÁLISE JURÍDICA</w:t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</w:rPr>
        <w:t xml:space="preserve"> </w:t>
      </w:r>
    </w:p>
    <w:p>
      <w:pPr>
        <w:pStyle w:val="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Quanto ao rito processual, o Executivo Municipal efetuou solicitação de urgência de forma justificada, motivo pelo qual a matéria tramita em regime de urgência.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</w:rPr>
        <w:t>Da Competência e iniciativa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bookmarkStart w:id="0" w:name="_Hlk196227748"/>
      <w:bookmarkEnd w:id="0"/>
      <w:r>
        <w:rPr>
          <w:rFonts w:eastAsia="Calibri" w:cs="Calibri" w:ascii="Arial" w:hAnsi="Arial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shd w:val="clear" w:color="auto" w:fill="FFFFFF"/>
        <w:ind w:left="2267" w:firstLine="360"/>
        <w:jc w:val="both"/>
        <w:rPr>
          <w:rFonts w:ascii="Arial" w:hAnsi="Arial"/>
        </w:rPr>
      </w:pPr>
      <w:r>
        <w:rPr>
          <w:rFonts w:eastAsia="Calibri" w:cs="Calibri" w:ascii="Arial" w:hAnsi="Arial"/>
          <w:i/>
        </w:rPr>
        <w:t>“</w:t>
      </w:r>
      <w:r>
        <w:rPr>
          <w:rFonts w:eastAsia="Calibri" w:cs="Calibri" w:ascii="Arial" w:hAnsi="Arial"/>
          <w:i/>
        </w:rPr>
        <w:t>Art. 30. Compete aos Municípios:</w:t>
      </w:r>
    </w:p>
    <w:p>
      <w:pPr>
        <w:pStyle w:val="LOnormal"/>
        <w:shd w:val="clear" w:color="auto" w:fill="FFFFFF"/>
        <w:ind w:left="2267" w:firstLine="360"/>
        <w:jc w:val="both"/>
        <w:rPr>
          <w:rFonts w:ascii="Arial" w:hAnsi="Arial"/>
        </w:rPr>
      </w:pPr>
      <w:r>
        <w:rPr>
          <w:rFonts w:eastAsia="Calibri" w:cs="Calibri" w:ascii="Arial" w:hAnsi="Arial"/>
          <w:i/>
        </w:rPr>
        <w:t>I - legislar sobre assuntos de interesse local; [...]</w:t>
      </w:r>
    </w:p>
    <w:p>
      <w:pPr>
        <w:pStyle w:val="LOnormal"/>
        <w:shd w:val="clear" w:color="auto" w:fill="FFFFFF"/>
        <w:ind w:left="2267" w:firstLine="360"/>
        <w:jc w:val="both"/>
        <w:rPr>
          <w:rFonts w:ascii="Arial" w:hAnsi="Arial" w:eastAsia="Calibri" w:cs="Calibri"/>
          <w:i/>
          <w:i/>
        </w:rPr>
      </w:pPr>
      <w:r>
        <w:rPr>
          <w:rFonts w:eastAsia="Calibri" w:cs="Calibri" w:ascii="Arial" w:hAnsi="Arial"/>
          <w:i/>
        </w:rPr>
      </w:r>
    </w:p>
    <w:p>
      <w:pPr>
        <w:pStyle w:val="LOnormal"/>
        <w:shd w:val="clear" w:color="auto" w:fill="FFFFFF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 xml:space="preserve">Ademais, a Lei Orgânica do Município de Igrejinha tratou no inciso III do Art. 46, da competência privativa do Prefeito Municipal no tocante à organização administrativa.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LOnormal"/>
        <w:ind w:left="2267" w:hanging="0"/>
        <w:jc w:val="both"/>
        <w:rPr>
          <w:rFonts w:ascii="Arial" w:hAnsi="Arial"/>
        </w:rPr>
      </w:pPr>
      <w:r>
        <w:rPr>
          <w:rFonts w:eastAsia="Calibri" w:cs="Arial" w:ascii="Arial" w:hAnsi="Arial"/>
          <w:i/>
        </w:rPr>
        <w:t>“</w:t>
      </w:r>
      <w:r>
        <w:rPr>
          <w:rFonts w:eastAsia="Calibri" w:cs="Arial" w:ascii="Arial" w:hAnsi="Arial"/>
          <w:i/>
        </w:rPr>
        <w:t>Art. 46. São de iniciativa privativa do Prefeito, os projetos de lei que disponham sobre:</w:t>
      </w:r>
    </w:p>
    <w:p>
      <w:pPr>
        <w:pStyle w:val="LOnormal"/>
        <w:ind w:left="2267" w:hanging="0"/>
        <w:jc w:val="both"/>
        <w:rPr>
          <w:rFonts w:ascii="Arial" w:hAnsi="Arial"/>
        </w:rPr>
      </w:pPr>
      <w:r>
        <w:rPr>
          <w:rFonts w:eastAsia="Calibri" w:cs="Arial" w:ascii="Arial" w:hAnsi="Arial"/>
          <w:i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ind w:left="2267" w:hanging="0"/>
        <w:jc w:val="both"/>
        <w:rPr>
          <w:rFonts w:ascii="Arial" w:hAnsi="Arial"/>
        </w:rPr>
      </w:pPr>
      <w:r>
        <w:rPr>
          <w:rFonts w:eastAsia="Calibri" w:cs="Arial" w:ascii="Arial" w:hAnsi="Arial"/>
          <w:i/>
        </w:rPr>
        <w:t>II - criação de novas vantagens de qualquer espécie, aos servidores públicos do Poder Executivo, e, aumento de vencimentos;</w:t>
      </w:r>
    </w:p>
    <w:p>
      <w:pPr>
        <w:pStyle w:val="LOnormal"/>
        <w:ind w:left="2267" w:hanging="0"/>
        <w:jc w:val="both"/>
        <w:rPr>
          <w:rFonts w:ascii="Arial" w:hAnsi="Arial"/>
        </w:rPr>
      </w:pPr>
      <w:r>
        <w:rPr>
          <w:rFonts w:eastAsia="Calibri" w:cs="Arial" w:ascii="Arial" w:hAnsi="Arial"/>
          <w:i/>
        </w:rPr>
        <w:t xml:space="preserve">III - organização administrativa dos serviços do Município; </w:t>
      </w:r>
    </w:p>
    <w:p>
      <w:pPr>
        <w:pStyle w:val="LOnormal"/>
        <w:ind w:left="2267" w:hanging="0"/>
        <w:jc w:val="both"/>
        <w:rPr>
          <w:rFonts w:ascii="Arial" w:hAnsi="Arial"/>
        </w:rPr>
      </w:pPr>
      <w:r>
        <w:rPr>
          <w:rFonts w:eastAsia="Calibri" w:cs="Arial" w:ascii="Arial" w:hAnsi="Arial"/>
          <w:i/>
        </w:rPr>
        <w:t xml:space="preserve">IV - matéria tributária; </w:t>
      </w:r>
    </w:p>
    <w:p>
      <w:pPr>
        <w:pStyle w:val="LOnormal"/>
        <w:ind w:left="2267" w:hanging="0"/>
        <w:jc w:val="both"/>
        <w:rPr>
          <w:rFonts w:ascii="Arial" w:hAnsi="Arial"/>
        </w:rPr>
      </w:pPr>
      <w:r>
        <w:rPr>
          <w:rFonts w:eastAsia="Calibri" w:cs="Arial" w:ascii="Arial" w:hAnsi="Arial"/>
          <w:i/>
        </w:rPr>
        <w:t xml:space="preserve">V - Plano Plurianual, diretrizes orçamentárias e orçamento anual; </w:t>
      </w:r>
    </w:p>
    <w:p>
      <w:pPr>
        <w:pStyle w:val="LOnormal"/>
        <w:ind w:left="2267" w:hanging="0"/>
        <w:jc w:val="both"/>
        <w:rPr>
          <w:rFonts w:ascii="Arial" w:hAnsi="Arial"/>
        </w:rPr>
      </w:pPr>
      <w:r>
        <w:rPr>
          <w:rFonts w:eastAsia="Calibri" w:cs="Arial" w:ascii="Arial" w:hAnsi="Arial"/>
          <w:i/>
        </w:rPr>
        <w:t>VI - Servidor Público Municipal e seu regime jurídico.”</w:t>
      </w:r>
    </w:p>
    <w:p>
      <w:pPr>
        <w:pStyle w:val="LOnormal"/>
        <w:ind w:left="2267" w:hanging="0"/>
        <w:jc w:val="both"/>
        <w:rPr>
          <w:rFonts w:ascii="Arial" w:hAnsi="Arial" w:eastAsia="Calibri" w:cs="Arial"/>
          <w:i/>
          <w:i/>
        </w:rPr>
      </w:pPr>
      <w:r>
        <w:rPr>
          <w:rFonts w:eastAsia="Calibri" w:cs="Arial" w:ascii="Arial" w:hAnsi="Arial"/>
          <w:i/>
        </w:rPr>
      </w:r>
    </w:p>
    <w:p>
      <w:pPr>
        <w:pStyle w:val="LOnormal"/>
        <w:ind w:left="2267" w:hanging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 xml:space="preserve">Quanto a matéria, o projeto busca adequar a legislação municipal visando a compatibilidade com a legislação estadual na área ambiental, conforme parecer técnico emitido pela SEMA.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  <w:b/>
          <w:b/>
          <w:u w:val="single"/>
        </w:rPr>
      </w:pPr>
      <w:r>
        <w:rPr>
          <w:rFonts w:eastAsia="Calibri" w:cs="Calibri" w:ascii="Arial" w:hAnsi="Arial"/>
          <w:b/>
          <w:u w:val="single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Arial"/>
          <w:b/>
          <w:b/>
          <w:u w:val="single"/>
        </w:rPr>
      </w:pPr>
      <w:r>
        <w:rPr>
          <w:rFonts w:eastAsia="Calibri" w:cs="Arial" w:ascii="Arial" w:hAnsi="Arial"/>
          <w:b/>
          <w:u w:val="single"/>
        </w:rPr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Arial"/>
          <w:b/>
          <w:b/>
          <w:u w:val="single"/>
        </w:rPr>
      </w:pPr>
      <w:r>
        <w:rPr>
          <w:rFonts w:eastAsia="Calibri" w:cs="Arial" w:ascii="Arial" w:hAnsi="Arial"/>
          <w:b/>
          <w:u w:val="single"/>
        </w:rPr>
      </w:r>
    </w:p>
    <w:p>
      <w:pPr>
        <w:pStyle w:val="LOnormal"/>
        <w:jc w:val="both"/>
        <w:rPr>
          <w:rFonts w:ascii="Arial" w:hAnsi="Arial"/>
        </w:rPr>
      </w:pPr>
      <w:r>
        <w:rPr>
          <w:rFonts w:eastAsia="Calibri" w:cs="Arial" w:ascii="Arial" w:hAnsi="Arial"/>
          <w:b/>
          <w:u w:val="single"/>
        </w:rPr>
        <w:t>III – CONCLUSÃO</w:t>
      </w:r>
      <w:r>
        <w:rPr>
          <w:rFonts w:eastAsia="Calibri" w:cs="Arial" w:ascii="Arial" w:hAnsi="Arial"/>
          <w:b/>
        </w:rPr>
        <w:t xml:space="preserve"> </w:t>
      </w:r>
    </w:p>
    <w:p>
      <w:pPr>
        <w:pStyle w:val="LOnormal"/>
        <w:ind w:left="2260" w:firstLine="7"/>
        <w:jc w:val="both"/>
        <w:rPr>
          <w:rFonts w:ascii="Arial" w:hAnsi="Arial" w:eastAsia="Calibri" w:cs="Arial"/>
          <w:i/>
          <w:i/>
        </w:rPr>
      </w:pPr>
      <w:r>
        <w:rPr>
          <w:rFonts w:eastAsia="Calibri" w:cs="Arial" w:ascii="Arial" w:hAnsi="Arial"/>
          <w:i/>
        </w:rPr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</w:rPr>
        <w:t xml:space="preserve">legalidade </w:t>
      </w:r>
      <w:r>
        <w:rPr>
          <w:rFonts w:eastAsia="Calibri" w:cs="Arial" w:ascii="Arial" w:hAnsi="Arial"/>
        </w:rPr>
        <w:t>e</w:t>
      </w:r>
      <w:r>
        <w:rPr>
          <w:rFonts w:eastAsia="Calibri" w:cs="Arial" w:ascii="Arial" w:hAnsi="Arial"/>
          <w:b/>
          <w:i/>
        </w:rPr>
        <w:t xml:space="preserve"> constitucionalidade</w:t>
      </w:r>
      <w:r>
        <w:rPr>
          <w:rFonts w:eastAsia="Calibri" w:cs="Arial" w:ascii="Arial" w:hAnsi="Arial"/>
          <w:i/>
        </w:rPr>
        <w:t xml:space="preserve"> </w:t>
      </w:r>
      <w:r>
        <w:rPr>
          <w:rFonts w:eastAsia="Calibri" w:cs="Arial" w:ascii="Arial" w:hAnsi="Arial"/>
        </w:rPr>
        <w:t>do referido projeto de Lei, tendo em vista que em análise não se observou qualquer vício em sua redação.</w:t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ind w:firstLine="85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>Este é o parecer.</w:t>
      </w:r>
    </w:p>
    <w:p>
      <w:pPr>
        <w:pStyle w:val="Normal"/>
        <w:ind w:firstLine="85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>Igrejinha, 02 de junho de 2026.</w:t>
      </w:r>
    </w:p>
    <w:p>
      <w:pPr>
        <w:pStyle w:val="Normal"/>
        <w:ind w:firstLine="850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ind w:firstLine="850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ind w:firstLine="850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  <w:b/>
        </w:rPr>
        <w:t xml:space="preserve">Anderson Fidelis de Araujo </w:t>
      </w:r>
    </w:p>
    <w:p>
      <w:pPr>
        <w:pStyle w:val="Normal"/>
        <w:ind w:firstLine="850"/>
        <w:jc w:val="both"/>
        <w:rPr>
          <w:rFonts w:ascii="Arial" w:hAnsi="Arial"/>
        </w:rPr>
      </w:pPr>
      <w:r>
        <w:rPr>
          <w:rFonts w:eastAsia="Calibri" w:cs="Arial" w:ascii="Arial" w:hAnsi="Arial"/>
        </w:rPr>
        <w:t>Assessor Jurídico</w:t>
      </w:r>
    </w:p>
    <w:p>
      <w:pPr>
        <w:pStyle w:val="Normal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LibreOffice/7.4.0.3$Windows_X86_64 LibreOffice_project/f85e47c08ddd19c015c0114a68350214f7066f5a</Application>
  <AppVersion>15.0000</AppVersion>
  <Pages>2</Pages>
  <Words>520</Words>
  <Characters>2924</Characters>
  <CharactersWithSpaces>3423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2026-06-02T18:13:00Z</dcterms:created>
  <dc:creator>A.F.A Advogado</dc:creator>
  <dc:description/>
  <dc:language>pt-BR</dc:language>
  <cp:lastModifiedBy/>
  <cp:lastPrinted>2026-05-12T15:40:00Z</cp:lastPrinted>
  <dcterms:modified xsi:type="dcterms:W3CDTF">2026-06-09T14:01:03Z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