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065/2026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037/2026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  Altera a Lei nº 3.898, de 31 de julho de 2007, que dispõe sobre a implantação do Plano de Carreira, estabelece o Quadro de Cargos, Remunerações e Funções Públicas do Município, e dá outras providências”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Quanto ao rito processual, o Executivo Municipal não solicitou urgência, motivo pelo qual a matéria tramita em rito NORMAL.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I, do Art. 46, da competência privativa do Prefeito Municipal no tocante à criação, alteração e extinção de cargos do quadro de servidores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tornar em extinção o cargo de operário no quadro de servidores estáveis do município.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sendo mantidos os servidores atualmente em atividade.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LibreOffice/7.4.0.3$Windows_X86_64 LibreOffice_project/f85e47c08ddd19c015c0114a68350214f7066f5a</Application>
  <AppVersion>15.0000</AppVersion>
  <Pages>3</Pages>
  <Words>513</Words>
  <Characters>2821</Characters>
  <CharactersWithSpaces>3314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2026-06-30T15:06:56Z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