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>
          <w:rFonts w:ascii="Calibri" w:hAnsi="Calibri"/>
          <w:sz w:val="26"/>
          <w:szCs w:val="26"/>
        </w:rPr>
      </w:pPr>
      <w:r>
        <w:rPr>
          <w:b/>
          <w:bCs/>
          <w:sz w:val="26"/>
          <w:szCs w:val="26"/>
        </w:rPr>
        <w:t>Autógrafo 026/2025 ao PLO 026/2025</w:t>
      </w:r>
    </w:p>
    <w:p>
      <w:pPr>
        <w:pStyle w:val="Normal"/>
        <w:spacing w:before="120" w:after="0"/>
        <w:jc w:val="center"/>
        <w:rPr>
          <w:rFonts w:ascii="Calibri" w:hAnsi="Calibri"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/>
      </w:pPr>
      <w:r>
        <w:rPr>
          <w:rStyle w:val="Fontepargpadro"/>
          <w:b/>
          <w:bCs/>
          <w:i w:val="false"/>
          <w:color w:val="000000"/>
          <w:sz w:val="26"/>
          <w:szCs w:val="26"/>
        </w:rPr>
        <w:t>Altera dispositivos da Lei nº 3.623, de 26 de fevereiro de 2018, que institui a Ficha Limpa para a nomeação de servidores em cargos comissionados ou para a designação em funções gratificadas no âmbito da administração direta, autárquica e fundacional dos Poderes Executivo e Legislativo, e dá outras providências.</w:t>
      </w:r>
    </w:p>
    <w:p>
      <w:pPr>
        <w:pStyle w:val="Citaes"/>
        <w:spacing w:lineRule="auto" w:line="247" w:before="199" w:after="0"/>
        <w:ind w:right="481" w:hanging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/>
      </w:r>
    </w:p>
    <w:p>
      <w:pPr>
        <w:pStyle w:val="Citaes"/>
        <w:spacing w:lineRule="auto" w:line="247" w:before="199" w:after="0"/>
        <w:ind w:right="481" w:hanging="0"/>
        <w:jc w:val="both"/>
        <w:rPr/>
      </w:pPr>
      <w:r>
        <w:rPr>
          <w:b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Art. 1º 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Ficam inseridas as alíneas “k” a “m”, ao artigo 1º, inciso II, da Lei n°. 3.623, de 26 de fevereiro de 2018, que passa a vigorar com a seguinte redação:</w:t>
      </w:r>
    </w:p>
    <w:p>
      <w:pPr>
        <w:pStyle w:val="Citaes"/>
        <w:widowControl/>
        <w:suppressAutoHyphens w:val="true"/>
        <w:bidi w:val="0"/>
        <w:spacing w:lineRule="auto" w:line="247" w:before="199" w:after="0"/>
        <w:ind w:left="1644" w:right="454" w:hanging="0"/>
        <w:jc w:val="both"/>
        <w:rPr/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k) crimes contra crianças e adolescentes (Lei Federal nº 8.069/1990), especialmente os de exploração sexual e pornografia infantil;</w:t>
      </w:r>
    </w:p>
    <w:p>
      <w:pPr>
        <w:pStyle w:val="Citaes"/>
        <w:widowControl/>
        <w:suppressAutoHyphens w:val="true"/>
        <w:bidi w:val="0"/>
        <w:spacing w:lineRule="auto" w:line="247" w:before="199" w:after="0"/>
        <w:ind w:left="1644" w:right="454" w:hanging="0"/>
        <w:jc w:val="both"/>
        <w:rPr/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l) crimes contra idosos, previstos no Estatuto do Idoso (Lei n° 10.741/2003), bem como nos termos da legislação federal, estadual ou municipal pertinente;</w:t>
      </w:r>
    </w:p>
    <w:p>
      <w:pPr>
        <w:pStyle w:val="Citaes"/>
        <w:widowControl/>
        <w:suppressAutoHyphens w:val="true"/>
        <w:bidi w:val="0"/>
        <w:spacing w:lineRule="auto" w:line="247" w:before="199" w:after="0"/>
        <w:ind w:left="1644" w:right="454" w:hanging="0"/>
        <w:jc w:val="both"/>
        <w:rPr/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m) crimes contra animais domésticos e silvestres, de pequeno e grande porte, nos termos da Lei de Crimes Ambientais (Lei nº 9.605/1998), como crueldade contra animais, e outros tipificados na legislação pertinente;</w:t>
      </w:r>
    </w:p>
    <w:p>
      <w:pPr>
        <w:pStyle w:val="Citaes"/>
        <w:spacing w:lineRule="auto" w:line="247" w:before="199" w:after="0"/>
        <w:ind w:left="462" w:right="481" w:hanging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/>
      </w:r>
    </w:p>
    <w:p>
      <w:pPr>
        <w:pStyle w:val="Citaes"/>
        <w:spacing w:lineRule="auto" w:line="247" w:before="199" w:after="0"/>
        <w:ind w:right="481" w:hanging="0"/>
        <w:jc w:val="both"/>
        <w:rPr/>
      </w:pPr>
      <w:r>
        <w:rPr>
          <w:b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>Art. 2º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 Inclui o §2º ao artigo 1º, da Lei n°. 3.623, de 26 de fevereiro de 2018, e renumera parágrafo único para §1º, passando a vigorar com a seguinte redação:</w:t>
      </w:r>
    </w:p>
    <w:p>
      <w:pPr>
        <w:pStyle w:val="Citaes"/>
        <w:widowControl/>
        <w:tabs>
          <w:tab w:val="clear" w:pos="708"/>
          <w:tab w:val="left" w:pos="1020" w:leader="none"/>
        </w:tabs>
        <w:suppressAutoHyphens w:val="true"/>
        <w:bidi w:val="0"/>
        <w:spacing w:lineRule="auto" w:line="247" w:before="199" w:after="0"/>
        <w:ind w:left="1644" w:right="454" w:hanging="0"/>
        <w:jc w:val="both"/>
        <w:rPr/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§1º (…)</w:t>
      </w:r>
    </w:p>
    <w:p>
      <w:pPr>
        <w:pStyle w:val="Citaes"/>
        <w:widowControl/>
        <w:tabs>
          <w:tab w:val="clear" w:pos="708"/>
          <w:tab w:val="left" w:pos="1020" w:leader="none"/>
        </w:tabs>
        <w:suppressAutoHyphens w:val="true"/>
        <w:bidi w:val="0"/>
        <w:spacing w:lineRule="auto" w:line="247" w:before="199" w:after="0"/>
        <w:ind w:left="1644" w:right="454" w:hanging="0"/>
        <w:jc w:val="both"/>
        <w:rPr/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§2º As pessoas nomeadas em cargos comissionados ou designadas em funções gratificadas no âmbito da administração direta, autárquica e fundacional dos Poderes Executivo e Legislativo deverão apresentar certidão negativa de antecedentes criminais expedida pelos órgãos competentes, abrangendo, no mínimo, a Justiça Federal, Estadual e Eleitoral.</w:t>
      </w:r>
    </w:p>
    <w:p>
      <w:pPr>
        <w:pStyle w:val="Citaes"/>
        <w:spacing w:lineRule="auto" w:line="247" w:before="199" w:after="0"/>
        <w:ind w:left="462" w:right="481" w:hanging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/>
      </w:r>
    </w:p>
    <w:p>
      <w:pPr>
        <w:pStyle w:val="Citaes"/>
        <w:spacing w:lineRule="auto" w:line="247" w:before="199" w:after="0"/>
        <w:ind w:right="481" w:hanging="0"/>
        <w:jc w:val="both"/>
        <w:rPr/>
      </w:pPr>
      <w:r>
        <w:rPr>
          <w:b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>Art. 3º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 Esta Lei entra em vigor na data de sua publicação </w:t>
      </w:r>
    </w:p>
    <w:p>
      <w:pPr>
        <w:pStyle w:val="Corpodotexto"/>
        <w:spacing w:lineRule="auto" w:line="247" w:before="199" w:after="0"/>
        <w:ind w:left="462" w:right="481" w:firstLine="1478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p>
      <w:pPr>
        <w:pStyle w:val="Corpodotexto"/>
        <w:spacing w:before="247" w:after="0"/>
        <w:ind w:left="2802" w:right="0" w:hanging="0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  <w:t>Gramado,</w:t>
      </w:r>
      <w:r>
        <w:rPr>
          <w:spacing w:val="-1"/>
          <w:sz w:val="26"/>
          <w:szCs w:val="26"/>
        </w:rPr>
        <w:t xml:space="preserve"> 09 </w:t>
      </w:r>
      <w:r>
        <w:rPr>
          <w:sz w:val="26"/>
          <w:szCs w:val="26"/>
        </w:rPr>
        <w:t>de Setembro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 xml:space="preserve">de </w:t>
      </w:r>
      <w:r>
        <w:rPr>
          <w:spacing w:val="-2"/>
          <w:sz w:val="26"/>
          <w:szCs w:val="26"/>
        </w:rPr>
        <w:t>2025.</w:t>
      </w:r>
    </w:p>
    <w:p>
      <w:pPr>
        <w:pStyle w:val="Corpodotexto"/>
        <w:rPr>
          <w:sz w:val="20"/>
        </w:rPr>
      </w:pPr>
      <w:r>
        <w:rPr/>
      </w:r>
    </w:p>
    <w:p>
      <w:pPr>
        <w:sectPr>
          <w:headerReference w:type="default" r:id="rId2"/>
          <w:type w:val="nextPage"/>
          <w:pgSz w:w="11906" w:h="16838"/>
          <w:pgMar w:left="1575" w:right="850" w:gutter="0" w:header="720" w:top="2835" w:footer="0" w:bottom="1247"/>
          <w:pgNumType w:fmt="decimal"/>
          <w:formProt w:val="false"/>
          <w:textDirection w:val="lrTb"/>
          <w:docGrid w:type="default" w:linePitch="100" w:charSpace="8192"/>
        </w:sectPr>
      </w:pPr>
    </w:p>
    <w:p>
      <w:pPr>
        <w:pStyle w:val="LO-Normal1"/>
        <w:widowControl/>
        <w:suppressAutoHyphens w:val="true"/>
        <w:bidi w:val="0"/>
        <w:spacing w:lineRule="auto" w:line="360" w:before="0" w:after="218"/>
        <w:ind w:left="0" w:right="283" w:firstLine="850"/>
        <w:jc w:val="both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before="120" w:after="0"/>
        <w:jc w:val="center"/>
        <w:rPr>
          <w:rFonts w:ascii="Calibri" w:hAnsi="Calibri"/>
          <w:sz w:val="26"/>
          <w:szCs w:val="26"/>
        </w:rPr>
      </w:pPr>
      <w:r>
        <w:rPr>
          <w:rFonts w:cs="Calibri" w:cstheme="minorHAnsi"/>
          <w:b/>
          <w:color w:val="000000"/>
          <w:sz w:val="26"/>
          <w:szCs w:val="26"/>
        </w:rPr>
        <w:t>Nestor Tissot</w:t>
      </w:r>
    </w:p>
    <w:p>
      <w:pPr>
        <w:sectPr>
          <w:type w:val="continuous"/>
          <w:pgSz w:w="11906" w:h="16838"/>
          <w:pgMar w:left="1575" w:right="850" w:gutter="0" w:header="720" w:top="2835" w:footer="0" w:bottom="1247"/>
          <w:formProt w:val="false"/>
          <w:textDirection w:val="lrTb"/>
          <w:docGrid w:type="default" w:linePitch="100" w:charSpace="8192"/>
        </w:sectPr>
      </w:pP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cstheme="minorHAnsi"/>
          <w:b/>
          <w:color w:val="000000"/>
          <w:sz w:val="26"/>
          <w:szCs w:val="26"/>
        </w:rPr>
        <w:t>Prefeito de Gramado</w:t>
      </w:r>
    </w:p>
    <w:sectPr>
      <w:type w:val="continuous"/>
      <w:pgSz w:w="11906" w:h="16838"/>
      <w:pgMar w:left="1575" w:right="850" w:gutter="0" w:header="720" w:top="2835" w:footer="0" w:bottom="1247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">
    <w:name w:val="Símbolos de numeração"/>
    <w:qFormat/>
    <w:rPr/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left="567" w:right="567" w:hanging="0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">
    <w:name w:val="Conteúdo do quadro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980</TotalTime>
  <Application>LibreOffice/7.5.2.2$Windows_X86_64 LibreOffice_project/53bb9681a964705cf672590721dbc85eb4d0c3a2</Application>
  <AppVersion>15.0000</AppVersion>
  <Pages>2</Pages>
  <Words>260</Words>
  <Characters>1390</Characters>
  <CharactersWithSpaces>1638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cp:lastPrinted>2025-08-13T11:23:46Z</cp:lastPrinted>
  <dcterms:modified xsi:type="dcterms:W3CDTF">2025-09-09T15:06:59Z</dcterms:modified>
  <cp:revision>179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