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media/image1.jpeg" ContentType="image/jpeg"/>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fontTable.xml" ContentType="application/vnd.openxmlformats-officedocument.wordprocessingml.fontTable+xml"/>
  <Override PartName="/word/_rels/document.xml.rels" ContentType="application/vnd.openxmlformats-package.relationships+xml"/>
  <Override PartName="/word/_rels/header1.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before="120" w:after="0"/>
        <w:jc w:val="center"/>
        <w:rPr>
          <w:rFonts w:ascii="Calibri" w:hAnsi="Calibri"/>
          <w:sz w:val="26"/>
          <w:szCs w:val="26"/>
        </w:rPr>
      </w:pPr>
      <w:r>
        <w:rPr>
          <w:b/>
          <w:bCs/>
          <w:sz w:val="26"/>
          <w:szCs w:val="26"/>
        </w:rPr>
        <w:t>Autógrafo 071/2025 ao PLO 071/2025</w:t>
      </w:r>
    </w:p>
    <w:p>
      <w:pPr>
        <w:pStyle w:val="Normal"/>
        <w:spacing w:before="120" w:after="0"/>
        <w:jc w:val="center"/>
        <w:rPr>
          <w:rFonts w:ascii="Calibri" w:hAnsi="Calibri"/>
          <w:b/>
          <w:bCs/>
          <w:sz w:val="26"/>
          <w:szCs w:val="26"/>
        </w:rPr>
      </w:pPr>
      <w:r>
        <w:rPr>
          <w:b/>
          <w:bCs/>
          <w:sz w:val="26"/>
          <w:szCs w:val="26"/>
        </w:rPr>
      </w:r>
    </w:p>
    <w:p>
      <w:pPr>
        <w:pStyle w:val="Normal"/>
        <w:widowControl w:val="false"/>
        <w:numPr>
          <w:ilvl w:val="0"/>
          <w:numId w:val="0"/>
        </w:numPr>
        <w:shd w:val="clear" w:color="auto" w:fill="FFFFFF"/>
        <w:suppressAutoHyphens w:val="true"/>
        <w:bidi w:val="0"/>
        <w:spacing w:before="300" w:after="150"/>
        <w:ind w:left="5272" w:right="0" w:hanging="0"/>
        <w:jc w:val="both"/>
        <w:rPr/>
      </w:pPr>
      <w:r>
        <w:rPr>
          <w:rStyle w:val="Fontepargpadro"/>
          <w:b/>
          <w:bCs/>
          <w:i w:val="false"/>
          <w:color w:val="000000"/>
          <w:sz w:val="26"/>
          <w:szCs w:val="26"/>
        </w:rPr>
        <w:t>Autoriza o Município de Gramado a proceder na requalificação do regime urbanístico do imóvel registrado sob a Matrícula nº 18.211, do Registro de Imóveis da Comarca de Gramado com a finalidade de proporcionar melhorias e transformações urbanísticas e ambientais estruturais e dá outras providências.</w:t>
      </w:r>
    </w:p>
    <w:p>
      <w:pPr>
        <w:pStyle w:val="Citaes"/>
        <w:spacing w:lineRule="auto" w:line="247" w:before="199" w:after="0"/>
        <w:ind w:left="567" w:right="481" w:hanging="0"/>
        <w:jc w:val="both"/>
        <w:rPr>
          <w:rFonts w:ascii="Calibri" w:hAnsi="Calibri"/>
          <w:b w:val="false"/>
          <w:i w:val="false"/>
          <w:i w:val="false"/>
          <w:caps w:val="false"/>
          <w:smallCaps w:val="false"/>
          <w:color w:val="000000"/>
          <w:spacing w:val="0"/>
          <w:sz w:val="26"/>
          <w:szCs w:val="26"/>
        </w:rPr>
      </w:pPr>
      <w:r>
        <w:rPr>
          <w:b w:val="false"/>
          <w:i w:val="false"/>
          <w:caps w:val="false"/>
          <w:smallCaps w:val="false"/>
          <w:color w:val="000000"/>
          <w:spacing w:val="0"/>
          <w:sz w:val="26"/>
          <w:szCs w:val="26"/>
        </w:rPr>
      </w:r>
    </w:p>
    <w:p>
      <w:pPr>
        <w:pStyle w:val="Citaes"/>
        <w:spacing w:lineRule="auto" w:line="247" w:before="199" w:after="0"/>
        <w:ind w:left="567" w:right="481" w:hanging="0"/>
        <w:jc w:val="both"/>
        <w:rPr>
          <w:rFonts w:ascii="Calibri" w:hAnsi="Calibri"/>
          <w:sz w:val="26"/>
          <w:szCs w:val="26"/>
        </w:rPr>
      </w:pPr>
      <w:r>
        <w:rPr>
          <w:b w:val="false"/>
          <w:i w:val="false"/>
          <w:caps w:val="false"/>
          <w:smallCaps w:val="false"/>
          <w:color w:val="000000"/>
          <w:spacing w:val="0"/>
          <w:sz w:val="26"/>
          <w:szCs w:val="26"/>
        </w:rPr>
        <w:t xml:space="preserve">Art. 1º O Município de Gramado fica autorizado a proceder na requalificação do regime urbanístico da área de 46.295,00m², de propriedade de PARQUE DA FERRADURA EMPREENDIMENTOS IMOBILIÁRIOS LTDA (CNPJ nº 07.515.668/0001-10), conforme Matrícula nº 18.211, do Registro de Imóveis da Comarca de Gramado, com a finalidade de proporcionar melhorias e transformações urbanísticas e ambientais estruturais, necessárias para viabilizar a proteção ambiental da área por meio da instituição de uma Reserva Particular do Patrimônio Natural – RPPN, prevista no art. 21 da Lei Federal n.º 9.985/2000, nos termos desta Lei. </w:t>
      </w:r>
    </w:p>
    <w:p>
      <w:pPr>
        <w:pStyle w:val="Citaes"/>
        <w:spacing w:lineRule="auto" w:line="247" w:before="199" w:after="0"/>
        <w:ind w:left="567" w:right="481" w:hanging="0"/>
        <w:jc w:val="both"/>
        <w:rPr>
          <w:rFonts w:ascii="Calibri" w:hAnsi="Calibri"/>
          <w:sz w:val="26"/>
          <w:szCs w:val="26"/>
        </w:rPr>
      </w:pPr>
      <w:r>
        <w:rPr>
          <w:b w:val="false"/>
          <w:i w:val="false"/>
          <w:caps w:val="false"/>
          <w:smallCaps w:val="false"/>
          <w:color w:val="000000"/>
          <w:spacing w:val="0"/>
          <w:sz w:val="26"/>
          <w:szCs w:val="26"/>
        </w:rPr>
        <w:t>Art. 2º Estabelecem-se as seguintes diretrizes ambientais e urbanísticas para a área, conforme plantas em anexo: área do lote 46.295,00m²; área de APP 22.241,02m²; área passível de ocupação (APO) de 24.053,98m², com área máxima edificável (0.90) de 21.648,58m² e taxa de ocupação (25%) de 6.013,50m².</w:t>
      </w:r>
    </w:p>
    <w:p>
      <w:pPr>
        <w:pStyle w:val="Citaes"/>
        <w:spacing w:lineRule="auto" w:line="247" w:before="199" w:after="0"/>
        <w:ind w:left="567" w:right="481" w:hanging="0"/>
        <w:jc w:val="both"/>
        <w:rPr>
          <w:rFonts w:ascii="Calibri" w:hAnsi="Calibri"/>
          <w:sz w:val="26"/>
          <w:szCs w:val="26"/>
        </w:rPr>
      </w:pPr>
      <w:r>
        <w:rPr>
          <w:b w:val="false"/>
          <w:i w:val="false"/>
          <w:caps w:val="false"/>
          <w:smallCaps w:val="false"/>
          <w:color w:val="000000"/>
          <w:spacing w:val="0"/>
          <w:sz w:val="26"/>
          <w:szCs w:val="26"/>
        </w:rPr>
        <w:t xml:space="preserve"> </w:t>
      </w:r>
      <w:r>
        <w:rPr>
          <w:b w:val="false"/>
          <w:i w:val="false"/>
          <w:caps w:val="false"/>
          <w:smallCaps w:val="false"/>
          <w:color w:val="000000"/>
          <w:spacing w:val="0"/>
          <w:sz w:val="26"/>
          <w:szCs w:val="26"/>
        </w:rPr>
        <w:t xml:space="preserve">Art. 3º Para fins de mitigação dos impactos urbano-ambiental e paisagístico, e haja vista que a melhor alternativa locacional já foi apreciada conforme anexos, fica estabelecido que a ocupação futura do terreno obedecerá sua implantação em apenas 8.400,00m² do terreno, sendo que desta área apenas 3.500,00m² de taxa de ocupação que serão destinados à implantação das construções (19.500,00m² de construção total, com 60 quartos de hotel e 90 apartamentos residenciais), devendo ser implantada na área uma Reserva Particular do Patrimônio Natural – RPPN que abranja 15.653,98m² da área remanescente, reserva que se soma aos 22.241,02m² de APP existente no local, totalizando uma área protegida de 37.895m², em consonância com o art. 129 do Plano Diretor (Lei Complementar nº 17/2022). </w:t>
      </w:r>
    </w:p>
    <w:p>
      <w:pPr>
        <w:pStyle w:val="Citaes"/>
        <w:spacing w:lineRule="auto" w:line="247" w:before="199" w:after="0"/>
        <w:ind w:left="567" w:right="481" w:hanging="0"/>
        <w:jc w:val="both"/>
        <w:rPr>
          <w:rFonts w:ascii="Calibri" w:hAnsi="Calibri"/>
          <w:sz w:val="26"/>
          <w:szCs w:val="26"/>
        </w:rPr>
      </w:pPr>
      <w:r>
        <w:rPr>
          <w:b w:val="false"/>
          <w:i w:val="false"/>
          <w:caps w:val="false"/>
          <w:smallCaps w:val="false"/>
          <w:color w:val="000000"/>
          <w:spacing w:val="0"/>
          <w:sz w:val="26"/>
          <w:szCs w:val="26"/>
        </w:rPr>
        <w:t>Parágrafo único. A área de APP deverá integrar a RPPN, obtendo, assim, todos os cuidados previstos para a Reserva Particular.</w:t>
      </w:r>
    </w:p>
    <w:p>
      <w:pPr>
        <w:pStyle w:val="Citaes"/>
        <w:spacing w:lineRule="auto" w:line="247" w:before="199" w:after="0"/>
        <w:ind w:left="567" w:right="481" w:hanging="0"/>
        <w:jc w:val="both"/>
        <w:rPr>
          <w:rFonts w:ascii="Calibri" w:hAnsi="Calibri"/>
          <w:sz w:val="26"/>
          <w:szCs w:val="26"/>
        </w:rPr>
      </w:pPr>
      <w:r>
        <w:rPr>
          <w:b w:val="false"/>
          <w:i w:val="false"/>
          <w:caps w:val="false"/>
          <w:smallCaps w:val="false"/>
          <w:color w:val="000000"/>
          <w:spacing w:val="0"/>
          <w:sz w:val="26"/>
          <w:szCs w:val="26"/>
        </w:rPr>
        <w:t xml:space="preserve"> </w:t>
      </w:r>
      <w:r>
        <w:rPr>
          <w:b w:val="false"/>
          <w:i w:val="false"/>
          <w:caps w:val="false"/>
          <w:smallCaps w:val="false"/>
          <w:color w:val="000000"/>
          <w:spacing w:val="0"/>
          <w:sz w:val="26"/>
          <w:szCs w:val="26"/>
        </w:rPr>
        <w:t xml:space="preserve">Art. 4º Para o projeto a ser implementado na área em questão fica expressamente isentado o disposto no art. 127 do Plano Diretor, de modo que se possa utilizar no empreendimento o mesmo número de pavimentos já previsto para o zoneamento em questão (subsolo, quatro pavimentos e subtelhado), não incidindo descontos de requisitos urbanísticos referentes à Áreas de Interesse Ambiental e Paisagístico (AIAP). </w:t>
      </w:r>
    </w:p>
    <w:p>
      <w:pPr>
        <w:pStyle w:val="Citaes"/>
        <w:spacing w:lineRule="auto" w:line="247" w:before="199" w:after="0"/>
        <w:ind w:left="567" w:right="481" w:hanging="0"/>
        <w:jc w:val="both"/>
        <w:rPr>
          <w:rFonts w:ascii="Calibri" w:hAnsi="Calibri"/>
          <w:sz w:val="26"/>
          <w:szCs w:val="26"/>
        </w:rPr>
      </w:pPr>
      <w:r>
        <w:rPr>
          <w:b w:val="false"/>
          <w:i w:val="false"/>
          <w:caps w:val="false"/>
          <w:smallCaps w:val="false"/>
          <w:color w:val="000000"/>
          <w:spacing w:val="0"/>
          <w:sz w:val="26"/>
          <w:szCs w:val="26"/>
        </w:rPr>
        <w:t xml:space="preserve">Art. 5º Após a devida aprovação do projeto a ser apreciado conforme trâmite regular previsto em lei, deverá ser autorizado ao proprietário da área a ocupação do solo para edificação de condomínio composto de quatro blocos com subsolo, quatro pavimentos e subtelhado cada, sendo um bloco hotel e três blocos residenciais (com 60 quartos de hotel e 90 apartamentos residenciais), além de um clube, a totalizar 19.500m² de área construída e taxa de ocupação máxima de 3.500m², além das pavimentações previstas em projeto, com ocupação total do terreno prevista em 8.400m². </w:t>
      </w:r>
    </w:p>
    <w:p>
      <w:pPr>
        <w:pStyle w:val="Citaes"/>
        <w:spacing w:lineRule="auto" w:line="247" w:before="199" w:after="0"/>
        <w:ind w:left="567" w:right="481" w:hanging="0"/>
        <w:jc w:val="both"/>
        <w:rPr>
          <w:rFonts w:ascii="Calibri" w:hAnsi="Calibri"/>
          <w:sz w:val="26"/>
          <w:szCs w:val="26"/>
        </w:rPr>
      </w:pPr>
      <w:r>
        <w:rPr>
          <w:b w:val="false"/>
          <w:i w:val="false"/>
          <w:caps w:val="false"/>
          <w:smallCaps w:val="false"/>
          <w:color w:val="000000"/>
          <w:spacing w:val="0"/>
          <w:sz w:val="26"/>
          <w:szCs w:val="26"/>
        </w:rPr>
        <w:t xml:space="preserve"> </w:t>
      </w:r>
      <w:r>
        <w:rPr>
          <w:b w:val="false"/>
          <w:i w:val="false"/>
          <w:caps w:val="false"/>
          <w:smallCaps w:val="false"/>
          <w:color w:val="000000"/>
          <w:spacing w:val="0"/>
          <w:sz w:val="26"/>
          <w:szCs w:val="26"/>
        </w:rPr>
        <w:t xml:space="preserve">Parágrafo único. A área máxima prevista para as edificações, bem como a área de ocupação do empreendimento, poderá sofrer pequenas alterações quando da elaboração dos projetos definitivos, apenas para fins de ajuste do projeto, para o que desde já se estabelece uma margem de 5% (cinco), sem que, contudo, sejam alterados o número de unidades residenciais e hoteleiras. </w:t>
      </w:r>
    </w:p>
    <w:p>
      <w:pPr>
        <w:pStyle w:val="Citaes"/>
        <w:spacing w:lineRule="auto" w:line="247" w:before="199" w:after="0"/>
        <w:ind w:left="567" w:right="481" w:hanging="0"/>
        <w:jc w:val="both"/>
        <w:rPr>
          <w:rFonts w:ascii="Calibri" w:hAnsi="Calibri"/>
          <w:sz w:val="26"/>
          <w:szCs w:val="26"/>
        </w:rPr>
      </w:pPr>
      <w:r>
        <w:rPr>
          <w:b w:val="false"/>
          <w:i w:val="false"/>
          <w:caps w:val="false"/>
          <w:smallCaps w:val="false"/>
          <w:color w:val="000000"/>
          <w:spacing w:val="0"/>
          <w:sz w:val="26"/>
          <w:szCs w:val="26"/>
        </w:rPr>
        <w:t>Art. 6º Após a regular aprovação do projeto, respeitadas as diretrizes dessa Lei, o Município outorgará ao proprietário da Matrícula nº 18.211, do Registro de Imóveis da Comarca de Gramado, escritura pública de índices construtivos que lhe confira o direito de usar por meio de transferência do direito de construir, em outras obras, e nos termos da legislação aplicável, o saldo não utilizado do potencial construtivo do terreno.</w:t>
      </w:r>
    </w:p>
    <w:p>
      <w:pPr>
        <w:pStyle w:val="Citaes"/>
        <w:spacing w:lineRule="auto" w:line="247" w:before="199" w:after="0"/>
        <w:ind w:left="567" w:right="481" w:hanging="0"/>
        <w:jc w:val="both"/>
        <w:rPr>
          <w:rFonts w:ascii="Calibri" w:hAnsi="Calibri"/>
          <w:sz w:val="26"/>
          <w:szCs w:val="26"/>
        </w:rPr>
      </w:pPr>
      <w:r>
        <w:rPr>
          <w:b w:val="false"/>
          <w:i w:val="false"/>
          <w:caps w:val="false"/>
          <w:smallCaps w:val="false"/>
          <w:color w:val="000000"/>
          <w:spacing w:val="0"/>
          <w:sz w:val="26"/>
          <w:szCs w:val="26"/>
        </w:rPr>
        <w:t xml:space="preserve"> </w:t>
      </w:r>
      <w:r>
        <w:rPr>
          <w:b w:val="false"/>
          <w:i w:val="false"/>
          <w:caps w:val="false"/>
          <w:smallCaps w:val="false"/>
          <w:color w:val="000000"/>
          <w:spacing w:val="0"/>
          <w:sz w:val="26"/>
          <w:szCs w:val="26"/>
        </w:rPr>
        <w:t>Art. 7º Para a construção do pavimento subsolo não será permitido o desmonte de rocha com explosivos ou material similar, apenas escavação e, caso necessário, a altura do piso do pavimento térreo em relação ao perfil natural do terreno poderá ser flexibilizada, sendo maior que 80 cm, quando acompanhada de adequações paisagísticas que mitiguem o seu impacto visual. Art. 8º Em contrapartida a requalificação urbanística estabelecida nesta Lei, serão implantadas pelo proprietário da área as seguintes medidas:</w:t>
      </w:r>
    </w:p>
    <w:p>
      <w:pPr>
        <w:pStyle w:val="Citaes"/>
        <w:spacing w:lineRule="auto" w:line="247" w:before="199" w:after="0"/>
        <w:ind w:left="567" w:right="481" w:hanging="0"/>
        <w:jc w:val="both"/>
        <w:rPr>
          <w:rFonts w:ascii="Calibri" w:hAnsi="Calibri"/>
          <w:sz w:val="26"/>
          <w:szCs w:val="26"/>
        </w:rPr>
      </w:pPr>
      <w:r>
        <w:rPr>
          <w:b w:val="false"/>
          <w:i w:val="false"/>
          <w:caps w:val="false"/>
          <w:smallCaps w:val="false"/>
          <w:color w:val="000000"/>
          <w:spacing w:val="0"/>
          <w:sz w:val="26"/>
          <w:szCs w:val="26"/>
        </w:rPr>
        <w:t xml:space="preserve"> </w:t>
      </w:r>
      <w:r>
        <w:rPr>
          <w:b w:val="false"/>
          <w:i w:val="false"/>
          <w:caps w:val="false"/>
          <w:smallCaps w:val="false"/>
          <w:color w:val="000000"/>
          <w:spacing w:val="0"/>
          <w:sz w:val="26"/>
          <w:szCs w:val="26"/>
        </w:rPr>
        <w:t xml:space="preserve">I - implementar na área a Unidade de Conservação na categoria de Reserva Particular do Patrimônio Natural (RPPN), reconhecida como de interesse público, que preservará 15.653,98m² da área remanescente, reserva que se soma aos 22.241,02m² de APP existente no local, totalizando uma área protegida de 37.895m², em consonância com o art. 129 do Plano Diretor, sendo que a área de APP deverá integrar a RPPN, obtendo, assim, todos os cuidados previstos para a Reserva Particular. </w:t>
      </w:r>
    </w:p>
    <w:p>
      <w:pPr>
        <w:pStyle w:val="Citaes"/>
        <w:spacing w:lineRule="auto" w:line="247" w:before="199" w:after="0"/>
        <w:ind w:left="567" w:right="481" w:hanging="0"/>
        <w:jc w:val="both"/>
        <w:rPr>
          <w:rFonts w:ascii="Calibri" w:hAnsi="Calibri"/>
          <w:sz w:val="26"/>
          <w:szCs w:val="26"/>
        </w:rPr>
      </w:pPr>
      <w:r>
        <w:rPr>
          <w:b w:val="false"/>
          <w:i w:val="false"/>
          <w:caps w:val="false"/>
          <w:smallCaps w:val="false"/>
          <w:color w:val="000000"/>
          <w:spacing w:val="0"/>
          <w:sz w:val="26"/>
          <w:szCs w:val="26"/>
        </w:rPr>
        <w:t xml:space="preserve">II - implementar uma “alameda” na Rua da Ferradura, fornecendo-lhe calçamento e iluminação pública, sendo que tal projeto deverá ser apresentado em definitivo concomitantemente ao projeto do empreendimento e deverá passar pelos ritos habituais de licenciamento e aprovação, bem como ser executado antes da concessão do habite-se ao Empreendimento. </w:t>
      </w:r>
    </w:p>
    <w:p>
      <w:pPr>
        <w:pStyle w:val="Citaes"/>
        <w:spacing w:lineRule="auto" w:line="247" w:before="199" w:after="0"/>
        <w:ind w:left="567" w:right="481" w:hanging="0"/>
        <w:jc w:val="both"/>
        <w:rPr>
          <w:rFonts w:ascii="Calibri" w:hAnsi="Calibri"/>
          <w:sz w:val="26"/>
          <w:szCs w:val="26"/>
        </w:rPr>
      </w:pPr>
      <w:r>
        <w:rPr>
          <w:b w:val="false"/>
          <w:i w:val="false"/>
          <w:caps w:val="false"/>
          <w:smallCaps w:val="false"/>
          <w:color w:val="000000"/>
          <w:spacing w:val="0"/>
          <w:sz w:val="26"/>
          <w:szCs w:val="26"/>
        </w:rPr>
        <w:t xml:space="preserve">§ 1º Em relação à RPPN disposta no inciso I do caput deste artigo, sua implementação e averbação em Matrícula deverá ser condicionante para o início das obras, observadas as seguintes ações: </w:t>
      </w:r>
    </w:p>
    <w:p>
      <w:pPr>
        <w:pStyle w:val="Citaes"/>
        <w:spacing w:lineRule="auto" w:line="247" w:before="199" w:after="0"/>
        <w:ind w:left="567" w:right="481" w:hanging="0"/>
        <w:jc w:val="both"/>
        <w:rPr>
          <w:rFonts w:ascii="Calibri" w:hAnsi="Calibri"/>
          <w:sz w:val="26"/>
          <w:szCs w:val="26"/>
        </w:rPr>
      </w:pPr>
      <w:r>
        <w:rPr>
          <w:b w:val="false"/>
          <w:i w:val="false"/>
          <w:caps w:val="false"/>
          <w:smallCaps w:val="false"/>
          <w:color w:val="000000"/>
          <w:spacing w:val="0"/>
          <w:sz w:val="26"/>
          <w:szCs w:val="26"/>
        </w:rPr>
        <w:t>I - criação de corredores ecológicos: porções de ecossistemas naturais ou seminaturais, que possibilitam fluxo de genes e o movimento da biota, facilitando a dispersão de espécies e a recolonização de áreas eventualmente degradadas;</w:t>
      </w:r>
    </w:p>
    <w:p>
      <w:pPr>
        <w:pStyle w:val="Citaes"/>
        <w:spacing w:lineRule="auto" w:line="247" w:before="199" w:after="0"/>
        <w:ind w:left="567" w:right="481" w:hanging="0"/>
        <w:jc w:val="both"/>
        <w:rPr>
          <w:rFonts w:ascii="Calibri" w:hAnsi="Calibri"/>
          <w:sz w:val="26"/>
          <w:szCs w:val="26"/>
        </w:rPr>
      </w:pPr>
      <w:r>
        <w:rPr>
          <w:b w:val="false"/>
          <w:i w:val="false"/>
          <w:caps w:val="false"/>
          <w:smallCaps w:val="false"/>
          <w:color w:val="000000"/>
          <w:spacing w:val="0"/>
          <w:sz w:val="26"/>
          <w:szCs w:val="26"/>
        </w:rPr>
        <w:t xml:space="preserve"> </w:t>
      </w:r>
      <w:r>
        <w:rPr>
          <w:b w:val="false"/>
          <w:i w:val="false"/>
          <w:caps w:val="false"/>
          <w:smallCaps w:val="false"/>
          <w:color w:val="000000"/>
          <w:spacing w:val="0"/>
          <w:sz w:val="26"/>
          <w:szCs w:val="26"/>
        </w:rPr>
        <w:t xml:space="preserve">II - conservação de ecossistemas e habitats naturais e a manutenção e recuperação de populações viáveis de espécies em seus meios naturais e, no caso de espécies domesticadas ou cultivadas, nos meios onde tenham desenvolvido suas propriedades; </w:t>
      </w:r>
    </w:p>
    <w:p>
      <w:pPr>
        <w:pStyle w:val="Citaes"/>
        <w:spacing w:lineRule="auto" w:line="247" w:before="199" w:after="0"/>
        <w:ind w:left="567" w:right="481" w:hanging="0"/>
        <w:jc w:val="both"/>
        <w:rPr>
          <w:rFonts w:ascii="Calibri" w:hAnsi="Calibri"/>
          <w:sz w:val="26"/>
          <w:szCs w:val="26"/>
        </w:rPr>
      </w:pPr>
      <w:r>
        <w:rPr>
          <w:b w:val="false"/>
          <w:i w:val="false"/>
          <w:caps w:val="false"/>
          <w:smallCaps w:val="false"/>
          <w:color w:val="000000"/>
          <w:spacing w:val="0"/>
          <w:sz w:val="26"/>
          <w:szCs w:val="26"/>
        </w:rPr>
        <w:t xml:space="preserve">III - assegurar que o uso da RPPN seja apenas de forma indireta e exclusiva pelos ocupantes do condomínio, ou seja, aquele que não envolve consumo, coleta, dano ou destruição dos recursos naturais; </w:t>
      </w:r>
    </w:p>
    <w:p>
      <w:pPr>
        <w:pStyle w:val="Citaes"/>
        <w:spacing w:lineRule="auto" w:line="247" w:before="199" w:after="0"/>
        <w:ind w:left="567" w:right="481" w:hanging="0"/>
        <w:jc w:val="both"/>
        <w:rPr>
          <w:rFonts w:ascii="Calibri" w:hAnsi="Calibri"/>
          <w:sz w:val="26"/>
          <w:szCs w:val="26"/>
        </w:rPr>
      </w:pPr>
      <w:r>
        <w:rPr>
          <w:b w:val="false"/>
          <w:i w:val="false"/>
          <w:caps w:val="false"/>
          <w:smallCaps w:val="false"/>
          <w:color w:val="000000"/>
          <w:spacing w:val="0"/>
          <w:sz w:val="26"/>
          <w:szCs w:val="26"/>
        </w:rPr>
        <w:t xml:space="preserve">IV - garantir o uso sustentável: exploração do ambiente de maneira a garantir a perenidade dos recursos ambientais renováveis e dos processos ecológicos, mantendo a biodiversidade e os demais atributos ecológicos, de forma socialmente justa e economicamente viável; </w:t>
      </w:r>
    </w:p>
    <w:p>
      <w:pPr>
        <w:pStyle w:val="Citaes"/>
        <w:spacing w:lineRule="auto" w:line="247" w:before="199" w:after="0"/>
        <w:ind w:left="567" w:right="481" w:hanging="0"/>
        <w:jc w:val="both"/>
        <w:rPr>
          <w:rFonts w:ascii="Calibri" w:hAnsi="Calibri"/>
          <w:sz w:val="26"/>
          <w:szCs w:val="26"/>
        </w:rPr>
      </w:pPr>
      <w:r>
        <w:rPr>
          <w:b w:val="false"/>
          <w:i w:val="false"/>
          <w:caps w:val="false"/>
          <w:smallCaps w:val="false"/>
          <w:color w:val="000000"/>
          <w:spacing w:val="0"/>
          <w:sz w:val="26"/>
          <w:szCs w:val="26"/>
        </w:rPr>
        <w:t xml:space="preserve"> </w:t>
      </w:r>
      <w:r>
        <w:rPr>
          <w:b w:val="false"/>
          <w:i w:val="false"/>
          <w:caps w:val="false"/>
          <w:smallCaps w:val="false"/>
          <w:color w:val="000000"/>
          <w:spacing w:val="0"/>
          <w:sz w:val="26"/>
          <w:szCs w:val="26"/>
        </w:rPr>
        <w:t xml:space="preserve">V - o Plano de Manejo a ser elaborado pelo empreendedor definirá as atividades permitidas na RPPN, conforme aquelas descritas no rol do art. 14 do Decreto Estadual nº 57.672/2024, não podendo comprometer ou alterar os atributos naturais e a conservação da respectiva RPPN. </w:t>
      </w:r>
    </w:p>
    <w:p>
      <w:pPr>
        <w:pStyle w:val="Citaes"/>
        <w:spacing w:lineRule="auto" w:line="247" w:before="199" w:after="0"/>
        <w:ind w:left="567" w:right="481" w:hanging="0"/>
        <w:jc w:val="both"/>
        <w:rPr>
          <w:rFonts w:ascii="Calibri" w:hAnsi="Calibri"/>
          <w:sz w:val="26"/>
          <w:szCs w:val="26"/>
        </w:rPr>
      </w:pPr>
      <w:r>
        <w:rPr>
          <w:b w:val="false"/>
          <w:i w:val="false"/>
          <w:caps w:val="false"/>
          <w:smallCaps w:val="false"/>
          <w:color w:val="000000"/>
          <w:spacing w:val="0"/>
          <w:sz w:val="26"/>
          <w:szCs w:val="26"/>
        </w:rPr>
        <w:t xml:space="preserve">§ 2º As despesas decorrentes da implantação e manutenção da RPPN ficarão a cargo do proprietário do imóvel ou ao seu sucessor. </w:t>
      </w:r>
    </w:p>
    <w:p>
      <w:pPr>
        <w:pStyle w:val="Citaes"/>
        <w:spacing w:lineRule="auto" w:line="247" w:before="199" w:after="0"/>
        <w:ind w:left="567" w:right="481" w:hanging="0"/>
        <w:jc w:val="both"/>
        <w:rPr>
          <w:rFonts w:ascii="Calibri" w:hAnsi="Calibri"/>
          <w:sz w:val="26"/>
          <w:szCs w:val="26"/>
        </w:rPr>
      </w:pPr>
      <w:r>
        <w:rPr>
          <w:b w:val="false"/>
          <w:i w:val="false"/>
          <w:caps w:val="false"/>
          <w:smallCaps w:val="false"/>
          <w:color w:val="000000"/>
          <w:spacing w:val="0"/>
          <w:sz w:val="26"/>
          <w:szCs w:val="26"/>
        </w:rPr>
        <w:t>§ 3º Em relação à alameda disposta no inciso II do caput deste artigo, tal contrapartida está estimada em R$ 500.000,00 (quinhentos mil reais), de modo que competirá ao Empreendedor orçar, executar e prestar contas para o Município das intervenções, garantido o equilíbrio econômico-financeiro no transcurso do tempo até a efetiva execução da contrapartida.</w:t>
      </w:r>
    </w:p>
    <w:p>
      <w:pPr>
        <w:pStyle w:val="Citaes"/>
        <w:spacing w:lineRule="auto" w:line="247" w:before="199" w:after="0"/>
        <w:ind w:left="567" w:right="481" w:hanging="0"/>
        <w:jc w:val="both"/>
        <w:rPr>
          <w:rFonts w:ascii="Calibri" w:hAnsi="Calibri"/>
          <w:sz w:val="26"/>
          <w:szCs w:val="26"/>
        </w:rPr>
      </w:pPr>
      <w:r>
        <w:rPr>
          <w:b w:val="false"/>
          <w:i w:val="false"/>
          <w:caps w:val="false"/>
          <w:smallCaps w:val="false"/>
          <w:color w:val="000000"/>
          <w:spacing w:val="0"/>
          <w:sz w:val="26"/>
          <w:szCs w:val="26"/>
        </w:rPr>
        <w:t xml:space="preserve">Art. 9º As contrapartidas e obrigações previstas para o proprietário, em especial as obras de implantação, somente serão iniciadas após a completa aprovação dos projetos e a concessão da licença prévia (LP) pela Secretaria do Meio Ambiente, de modo que haja segurança jurídica para o início das contrapartidas, sendo que para a emissão da Licença de Instalação (LI) do futuro empreendimento, deverá o proprietário comprovar a integralidade das contrapartidas nos termos dessa Lei, excetuada a execução da “alameda”, que deverá ser aprovada e concluída antes da concessão do habite-se. </w:t>
      </w:r>
    </w:p>
    <w:p>
      <w:pPr>
        <w:pStyle w:val="Citaes"/>
        <w:spacing w:lineRule="auto" w:line="247" w:before="199" w:after="0"/>
        <w:ind w:left="567" w:right="481" w:hanging="0"/>
        <w:jc w:val="both"/>
        <w:rPr>
          <w:rFonts w:ascii="Calibri" w:hAnsi="Calibri"/>
          <w:sz w:val="26"/>
          <w:szCs w:val="26"/>
        </w:rPr>
      </w:pPr>
      <w:r>
        <w:rPr>
          <w:b w:val="false"/>
          <w:i w:val="false"/>
          <w:caps w:val="false"/>
          <w:smallCaps w:val="false"/>
          <w:color w:val="000000"/>
          <w:spacing w:val="0"/>
          <w:sz w:val="26"/>
          <w:szCs w:val="26"/>
        </w:rPr>
        <w:t xml:space="preserve">Art. 10. No caso de desmembramento ou transferência de titularidade, parcial ou total, do imóvel registrado na Matrícula nº 18.211, do Registro de Imóveis da Comarca de Gramado, sub-rogam-se as disposições desta Lei ao proprietário adquirente. </w:t>
      </w:r>
    </w:p>
    <w:p>
      <w:pPr>
        <w:pStyle w:val="Citaes"/>
        <w:spacing w:lineRule="auto" w:line="247" w:before="199" w:after="0"/>
        <w:ind w:left="567" w:right="481" w:hanging="0"/>
        <w:jc w:val="both"/>
        <w:rPr>
          <w:rFonts w:ascii="Calibri" w:hAnsi="Calibri"/>
          <w:sz w:val="26"/>
          <w:szCs w:val="26"/>
        </w:rPr>
      </w:pPr>
      <w:r>
        <w:rPr>
          <w:b w:val="false"/>
          <w:i w:val="false"/>
          <w:caps w:val="false"/>
          <w:smallCaps w:val="false"/>
          <w:color w:val="000000"/>
          <w:spacing w:val="0"/>
          <w:sz w:val="26"/>
          <w:szCs w:val="26"/>
        </w:rPr>
        <w:t>Art. 11. Fica isentado dos cálculos de Imposto sobre a Propriedade Predial e Territorial Urbana (IPTU) toda a área abrangida pela RPPN, que será regulamentada através de lei específica.</w:t>
      </w:r>
    </w:p>
    <w:p>
      <w:pPr>
        <w:pStyle w:val="Citaes"/>
        <w:spacing w:lineRule="auto" w:line="247" w:before="199" w:after="0"/>
        <w:ind w:left="567" w:right="481" w:hanging="0"/>
        <w:jc w:val="both"/>
        <w:rPr>
          <w:rFonts w:ascii="Calibri" w:hAnsi="Calibri"/>
          <w:sz w:val="26"/>
          <w:szCs w:val="26"/>
        </w:rPr>
      </w:pPr>
      <w:r>
        <w:rPr>
          <w:b w:val="false"/>
          <w:i w:val="false"/>
          <w:caps w:val="false"/>
          <w:smallCaps w:val="false"/>
          <w:color w:val="000000"/>
          <w:spacing w:val="0"/>
          <w:sz w:val="26"/>
          <w:szCs w:val="26"/>
        </w:rPr>
        <w:t xml:space="preserve"> </w:t>
      </w:r>
      <w:r>
        <w:rPr>
          <w:b w:val="false"/>
          <w:i w:val="false"/>
          <w:caps w:val="false"/>
          <w:smallCaps w:val="false"/>
          <w:color w:val="000000"/>
          <w:spacing w:val="0"/>
          <w:sz w:val="26"/>
          <w:szCs w:val="26"/>
        </w:rPr>
        <w:t xml:space="preserve">Art. 12. Em razão de sua especificidade, as disposições desta Lei prevalecem sobre quaisquer outras normas municipais, pois resultarão em aplicação de um novo regime urbanístico que deverá ser averbado na matrícula do respectivo imóvel objeto desta Lei. </w:t>
      </w:r>
    </w:p>
    <w:p>
      <w:pPr>
        <w:pStyle w:val="Citaes"/>
        <w:spacing w:lineRule="auto" w:line="247" w:before="199" w:after="0"/>
        <w:ind w:left="567" w:right="481" w:hanging="0"/>
        <w:jc w:val="both"/>
        <w:rPr>
          <w:rFonts w:ascii="Calibri" w:hAnsi="Calibri"/>
          <w:sz w:val="26"/>
          <w:szCs w:val="26"/>
        </w:rPr>
      </w:pPr>
      <w:r>
        <w:rPr>
          <w:b w:val="false"/>
          <w:i w:val="false"/>
          <w:caps w:val="false"/>
          <w:smallCaps w:val="false"/>
          <w:color w:val="000000"/>
          <w:spacing w:val="0"/>
          <w:sz w:val="26"/>
          <w:szCs w:val="26"/>
        </w:rPr>
        <w:t xml:space="preserve">Art. 13. O Termo de Ajustamento de Conduta firmado perante o Ministério Público nos autos do Inquérito Civil n.º 00782.001.557/2024, é parte integrante desta Lei. Art. </w:t>
      </w:r>
    </w:p>
    <w:p>
      <w:pPr>
        <w:pStyle w:val="Citaes"/>
        <w:spacing w:lineRule="auto" w:line="247" w:before="199" w:after="0"/>
        <w:ind w:left="567" w:right="481" w:hanging="0"/>
        <w:jc w:val="both"/>
        <w:rPr>
          <w:rFonts w:ascii="Calibri" w:hAnsi="Calibri"/>
          <w:sz w:val="26"/>
          <w:szCs w:val="26"/>
        </w:rPr>
      </w:pPr>
      <w:r>
        <w:rPr>
          <w:b w:val="false"/>
          <w:i w:val="false"/>
          <w:caps w:val="false"/>
          <w:smallCaps w:val="false"/>
          <w:color w:val="000000"/>
          <w:spacing w:val="0"/>
          <w:sz w:val="26"/>
          <w:szCs w:val="26"/>
        </w:rPr>
        <w:t xml:space="preserve">14. Esta Lei entra em vigor na data de sua publicação. </w:t>
      </w:r>
    </w:p>
    <w:p>
      <w:pPr>
        <w:pStyle w:val="Corpodotexto"/>
        <w:spacing w:before="247" w:after="0"/>
        <w:ind w:left="2802" w:right="0" w:hanging="0"/>
        <w:rPr>
          <w:rFonts w:ascii="Calibri" w:hAnsi="Calibri"/>
          <w:sz w:val="26"/>
          <w:szCs w:val="26"/>
        </w:rPr>
      </w:pPr>
      <w:r>
        <w:rPr>
          <w:sz w:val="26"/>
          <w:szCs w:val="26"/>
        </w:rPr>
        <w:t>Gramado,</w:t>
      </w:r>
      <w:r>
        <w:rPr>
          <w:spacing w:val="-1"/>
          <w:sz w:val="26"/>
          <w:szCs w:val="26"/>
        </w:rPr>
        <w:t xml:space="preserve"> 23 </w:t>
      </w:r>
      <w:r>
        <w:rPr>
          <w:sz w:val="26"/>
          <w:szCs w:val="26"/>
        </w:rPr>
        <w:t>de Setembro</w:t>
      </w:r>
      <w:r>
        <w:rPr>
          <w:spacing w:val="-1"/>
          <w:sz w:val="26"/>
          <w:szCs w:val="26"/>
        </w:rPr>
        <w:t xml:space="preserve"> </w:t>
      </w:r>
      <w:r>
        <w:rPr>
          <w:sz w:val="26"/>
          <w:szCs w:val="26"/>
        </w:rPr>
        <w:t xml:space="preserve">de </w:t>
      </w:r>
      <w:r>
        <w:rPr>
          <w:spacing w:val="-2"/>
          <w:sz w:val="26"/>
          <w:szCs w:val="26"/>
        </w:rPr>
        <w:t>2025.</w:t>
      </w:r>
    </w:p>
    <w:p>
      <w:pPr>
        <w:pStyle w:val="Corpodotexto"/>
        <w:rPr>
          <w:sz w:val="20"/>
        </w:rPr>
      </w:pPr>
      <w:r>
        <w:rPr>
          <w:sz w:val="20"/>
        </w:rPr>
      </w:r>
    </w:p>
    <w:p>
      <w:pPr>
        <w:sectPr>
          <w:headerReference w:type="default" r:id="rId2"/>
          <w:type w:val="nextPage"/>
          <w:pgSz w:w="11906" w:h="16838"/>
          <w:pgMar w:left="1575" w:right="850" w:gutter="0" w:header="720" w:top="2835" w:footer="0" w:bottom="1247"/>
          <w:pgNumType w:fmt="decimal"/>
          <w:formProt w:val="false"/>
          <w:textDirection w:val="lrTb"/>
          <w:docGrid w:type="default" w:linePitch="100" w:charSpace="8192"/>
        </w:sectPr>
      </w:pPr>
    </w:p>
    <w:p>
      <w:pPr>
        <w:pStyle w:val="LO-Normal1"/>
        <w:widowControl/>
        <w:suppressAutoHyphens w:val="true"/>
        <w:bidi w:val="0"/>
        <w:spacing w:lineRule="auto" w:line="360" w:before="0" w:after="218"/>
        <w:ind w:left="0" w:right="283" w:firstLine="850"/>
        <w:jc w:val="both"/>
        <w:rPr>
          <w:rFonts w:ascii="Calibri" w:hAnsi="Calibri"/>
          <w:sz w:val="26"/>
          <w:szCs w:val="26"/>
        </w:rPr>
      </w:pPr>
      <w:r>
        <w:rPr>
          <w:sz w:val="26"/>
          <w:szCs w:val="26"/>
        </w:rPr>
      </w:r>
    </w:p>
    <w:p>
      <w:pPr>
        <w:pStyle w:val="Normal"/>
        <w:spacing w:before="120" w:after="0"/>
        <w:jc w:val="center"/>
        <w:rPr>
          <w:rFonts w:ascii="Calibri" w:hAnsi="Calibri"/>
          <w:sz w:val="26"/>
          <w:szCs w:val="26"/>
        </w:rPr>
      </w:pPr>
      <w:r>
        <w:rPr>
          <w:rFonts w:cs="Calibri" w:cstheme="minorHAnsi"/>
          <w:b/>
          <w:color w:val="000000"/>
          <w:sz w:val="26"/>
          <w:szCs w:val="26"/>
        </w:rPr>
        <w:t>Nestor Tissot</w:t>
      </w:r>
    </w:p>
    <w:p>
      <w:pPr>
        <w:sectPr>
          <w:type w:val="continuous"/>
          <w:pgSz w:w="11906" w:h="16838"/>
          <w:pgMar w:left="1575" w:right="850" w:gutter="0" w:header="720" w:top="2835" w:footer="0" w:bottom="1247"/>
          <w:formProt w:val="false"/>
          <w:textDirection w:val="lrTb"/>
          <w:docGrid w:type="default" w:linePitch="100" w:charSpace="8192"/>
        </w:sectPr>
      </w:pPr>
    </w:p>
    <w:p>
      <w:pPr>
        <w:pStyle w:val="Normal"/>
        <w:spacing w:before="120" w:after="0"/>
        <w:jc w:val="center"/>
        <w:rPr/>
      </w:pPr>
      <w:r>
        <w:rPr>
          <w:rStyle w:val="Fontepargpadro"/>
          <w:rFonts w:cs="Calibri" w:cstheme="minorHAnsi"/>
          <w:b/>
          <w:color w:val="000000"/>
          <w:sz w:val="26"/>
          <w:szCs w:val="26"/>
        </w:rPr>
        <w:t>Prefeito de Gramado</w:t>
      </w:r>
    </w:p>
    <w:sectPr>
      <w:type w:val="continuous"/>
      <w:pgSz w:w="11906" w:h="16838"/>
      <w:pgMar w:left="1575" w:right="850" w:gutter="0" w:header="720" w:top="2835" w:footer="0" w:bottom="1247"/>
      <w:formProt w:val="false"/>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mbria">
    <w:charset w:val="00"/>
    <w:family w:val="roman"/>
    <w:pitch w:val="variable"/>
  </w:font>
  <w:font w:name="Tahoma">
    <w:charset w:val="00"/>
    <w:family w:val="roman"/>
    <w:pitch w:val="variable"/>
  </w:font>
  <w:font w:name="OpenSymbol">
    <w:altName w:val="Arial Unicode MS"/>
    <w:charset w:val="00"/>
    <w:family w:val="roman"/>
    <w:pitch w:val="variable"/>
  </w:font>
  <w:font w:name="Liberation Sans">
    <w:altName w:val="Arial"/>
    <w:charset w:val="00"/>
    <w:family w:val="roman"/>
    <w:pitch w:val="variable"/>
  </w:font>
  <w:font w:name="Arial">
    <w:charset w:val="00"/>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spacing w:before="120" w:after="0"/>
      <w:jc w:val="center"/>
      <w:rPr/>
    </w:pPr>
    <w:r>
      <w:rPr/>
      <w:drawing>
        <wp:inline distT="0" distB="0" distL="0" distR="0">
          <wp:extent cx="3238500" cy="1098550"/>
          <wp:effectExtent l="0" t="0" r="0" b="0"/>
          <wp:docPr id="1" name="Imagem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descr=""/>
                  <pic:cNvPicPr>
                    <a:picLocks noChangeAspect="1" noChangeArrowheads="1"/>
                  </pic:cNvPicPr>
                </pic:nvPicPr>
                <pic:blipFill>
                  <a:blip r:embed="rId1"/>
                  <a:stretch>
                    <a:fillRect/>
                  </a:stretch>
                </pic:blipFill>
                <pic:spPr bwMode="auto">
                  <a:xfrm>
                    <a:off x="0" y="0"/>
                    <a:ext cx="3238500" cy="1098550"/>
                  </a:xfrm>
                  <a:prstGeom prst="rect">
                    <a:avLst/>
                  </a:prstGeom>
                </pic:spPr>
              </pic:pic>
            </a:graphicData>
          </a:graphic>
        </wp:inline>
      </w:drawing>
    </w:r>
  </w:p>
  <w:p>
    <w:pPr>
      <w:pStyle w:val="Normal"/>
      <w:spacing w:before="120" w:after="0"/>
      <w:jc w:val="center"/>
      <w:rPr>
        <w:rFonts w:ascii="Arial" w:hAnsi="Arial"/>
        <w:color w:val="000000"/>
        <w:sz w:val="24"/>
      </w:rPr>
    </w:pPr>
    <w:r>
      <w:rPr>
        <w:rFonts w:ascii="Arial" w:hAnsi="Arial"/>
        <w:color w:val="000000"/>
        <w:sz w:val="24"/>
      </w:rPr>
    </w:r>
  </w:p>
</w:hdr>
</file>

<file path=word/settings.xml><?xml version="1.0" encoding="utf-8"?>
<w:settings xmlns:w="http://schemas.openxmlformats.org/wordprocessingml/2006/main">
  <w:zoom w:percent="100"/>
  <w:defaultTabStop w:val="708"/>
  <w:autoHyphenation w:val="true"/>
  <w:hyphenationZone w:val="425"/>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Title" w:uiPriority="10" w:semiHidden="0" w:unhideWhenUsed="0" w:qFormat="1"/>
    <w:lsdException w:name="Default Paragraph Font" w:uiPriority="1"/>
    <w:lsdException w:name="Subtitle" w:uiPriority="11" w:semiHidden="0" w:unhideWhenUsed="0" w:qFormat="1"/>
    <w:lsdException w:name="Emphasis" w:uiPriority="20" w:semiHidden="0" w:unhideWhenUsed="0" w:qFormat="1"/>
    <w:lsdException w:name="Table Grid" w:uiPriority="59" w:semiHidden="0" w:unhideWhenUsed="0"/>
  </w:latentStyles>
  <w:style w:type="paragraph" w:styleId="Normal" w:default="1">
    <w:name w:val="Normal"/>
    <w:qFormat/>
    <w:rsid w:val="004a3277"/>
    <w:pPr>
      <w:widowControl/>
      <w:suppressAutoHyphens w:val="true"/>
      <w:bidi w:val="0"/>
      <w:spacing w:before="120" w:after="120"/>
      <w:jc w:val="left"/>
    </w:pPr>
    <w:rPr>
      <w:rFonts w:ascii="Calibri" w:hAnsi="Calibri" w:eastAsia="Calibri" w:cs="" w:asciiTheme="minorHAnsi" w:cstheme="minorBidi" w:eastAsiaTheme="minorHAnsi" w:hAnsiTheme="minorHAnsi"/>
      <w:color w:val="auto"/>
      <w:kern w:val="0"/>
      <w:sz w:val="22"/>
      <w:szCs w:val="22"/>
      <w:lang w:val="pt-BR" w:eastAsia="pt-BR" w:bidi="pt-BR"/>
    </w:rPr>
  </w:style>
  <w:style w:type="paragraph" w:styleId="Ttulo1">
    <w:name w:val="Heading 1"/>
    <w:basedOn w:val="Normal"/>
    <w:next w:val="Normal"/>
    <w:link w:val="Ttulo1Char"/>
    <w:uiPriority w:val="9"/>
    <w:qFormat/>
    <w:rsid w:val="00841cd9"/>
    <w:pPr>
      <w:keepNext w:val="true"/>
      <w:keepLines/>
      <w:spacing w:before="480" w:after="120"/>
      <w:outlineLvl w:val="0"/>
    </w:pPr>
    <w:rPr>
      <w:rFonts w:ascii="Cambria" w:hAnsi="Cambria" w:eastAsia="" w:cs="" w:asciiTheme="majorHAnsi" w:cstheme="majorBidi" w:eastAsiaTheme="majorEastAsia" w:hAnsiTheme="majorHAnsi"/>
      <w:b/>
      <w:bCs/>
      <w:color w:val="365F91" w:themeColor="accent1" w:themeShade="bf"/>
      <w:sz w:val="28"/>
      <w:szCs w:val="28"/>
    </w:rPr>
  </w:style>
  <w:style w:type="paragraph" w:styleId="Ttulo2">
    <w:name w:val="Heading 2"/>
    <w:basedOn w:val="Normal"/>
    <w:next w:val="Normal"/>
    <w:link w:val="Ttulo2Char"/>
    <w:uiPriority w:val="9"/>
    <w:unhideWhenUsed/>
    <w:qFormat/>
    <w:rsid w:val="00841cd9"/>
    <w:pPr>
      <w:keepNext w:val="true"/>
      <w:keepLines/>
      <w:spacing w:before="200" w:after="120"/>
      <w:outlineLvl w:val="1"/>
    </w:pPr>
    <w:rPr>
      <w:rFonts w:ascii="Cambria" w:hAnsi="Cambria" w:eastAsia="" w:cs="" w:asciiTheme="majorHAnsi" w:cstheme="majorBidi" w:eastAsiaTheme="majorEastAsia" w:hAnsiTheme="majorHAnsi"/>
      <w:b/>
      <w:bCs/>
      <w:color w:val="4F81BD" w:themeColor="accent1"/>
      <w:sz w:val="26"/>
      <w:szCs w:val="26"/>
    </w:rPr>
  </w:style>
  <w:style w:type="paragraph" w:styleId="Ttulo3">
    <w:name w:val="Heading 3"/>
    <w:basedOn w:val="Normal"/>
    <w:next w:val="Normal"/>
    <w:link w:val="Ttulo3Char"/>
    <w:uiPriority w:val="9"/>
    <w:unhideWhenUsed/>
    <w:qFormat/>
    <w:rsid w:val="00841cd9"/>
    <w:pPr>
      <w:keepNext w:val="true"/>
      <w:keepLines/>
      <w:spacing w:before="200" w:after="120"/>
      <w:outlineLvl w:val="2"/>
    </w:pPr>
    <w:rPr>
      <w:rFonts w:ascii="Cambria" w:hAnsi="Cambria" w:eastAsia="" w:cs="" w:asciiTheme="majorHAnsi" w:cstheme="majorBidi" w:eastAsiaTheme="majorEastAsia" w:hAnsiTheme="majorHAnsi"/>
      <w:b/>
      <w:bCs/>
      <w:color w:val="4F81BD" w:themeColor="accent1"/>
    </w:rPr>
  </w:style>
  <w:style w:type="paragraph" w:styleId="Ttulo4">
    <w:name w:val="Heading 4"/>
    <w:basedOn w:val="Normal"/>
    <w:next w:val="Normal"/>
    <w:link w:val="Ttulo4Char"/>
    <w:uiPriority w:val="9"/>
    <w:unhideWhenUsed/>
    <w:qFormat/>
    <w:rsid w:val="00841cd9"/>
    <w:pPr>
      <w:keepNext w:val="true"/>
      <w:keepLines/>
      <w:spacing w:before="200" w:after="120"/>
      <w:outlineLvl w:val="3"/>
    </w:pPr>
    <w:rPr>
      <w:rFonts w:ascii="Cambria" w:hAnsi="Cambria" w:eastAsia="" w:cs="" w:asciiTheme="majorHAnsi" w:cstheme="majorBidi" w:eastAsiaTheme="majorEastAsia" w:hAnsiTheme="majorHAnsi"/>
      <w:b/>
      <w:bCs/>
      <w:i/>
      <w:iCs/>
      <w:color w:val="4F81BD" w:themeColor="accent1"/>
    </w:rPr>
  </w:style>
  <w:style w:type="character" w:styleId="DefaultParagraphFont" w:default="1">
    <w:name w:val="Default Paragraph Font"/>
    <w:uiPriority w:val="1"/>
    <w:semiHidden/>
    <w:unhideWhenUsed/>
    <w:qFormat/>
    <w:rPr/>
  </w:style>
  <w:style w:type="character" w:styleId="CabealhoChar" w:customStyle="1">
    <w:name w:val="Cabeçalho Char"/>
    <w:basedOn w:val="DefaultParagraphFont"/>
    <w:uiPriority w:val="99"/>
    <w:qFormat/>
    <w:rsid w:val="00841cd9"/>
    <w:rPr/>
  </w:style>
  <w:style w:type="character" w:styleId="Ttulo1Char" w:customStyle="1">
    <w:name w:val="Título 1 Char"/>
    <w:basedOn w:val="DefaultParagraphFont"/>
    <w:uiPriority w:val="9"/>
    <w:qFormat/>
    <w:rsid w:val="00841cd9"/>
    <w:rPr>
      <w:rFonts w:ascii="Cambria" w:hAnsi="Cambria" w:eastAsia="" w:cs="" w:asciiTheme="majorHAnsi" w:cstheme="majorBidi" w:eastAsiaTheme="majorEastAsia" w:hAnsiTheme="majorHAnsi"/>
      <w:b/>
      <w:bCs/>
      <w:color w:val="365F91" w:themeColor="accent1" w:themeShade="bf"/>
      <w:sz w:val="28"/>
      <w:szCs w:val="28"/>
    </w:rPr>
  </w:style>
  <w:style w:type="character" w:styleId="Ttulo2Char" w:customStyle="1">
    <w:name w:val="Título 2 Char"/>
    <w:basedOn w:val="DefaultParagraphFont"/>
    <w:uiPriority w:val="9"/>
    <w:qFormat/>
    <w:rsid w:val="00841cd9"/>
    <w:rPr>
      <w:rFonts w:ascii="Cambria" w:hAnsi="Cambria" w:eastAsia="" w:cs="" w:asciiTheme="majorHAnsi" w:cstheme="majorBidi" w:eastAsiaTheme="majorEastAsia" w:hAnsiTheme="majorHAnsi"/>
      <w:b/>
      <w:bCs/>
      <w:color w:val="4F81BD" w:themeColor="accent1"/>
      <w:sz w:val="26"/>
      <w:szCs w:val="26"/>
    </w:rPr>
  </w:style>
  <w:style w:type="character" w:styleId="Ttulo3Char" w:customStyle="1">
    <w:name w:val="Título 3 Char"/>
    <w:basedOn w:val="DefaultParagraphFont"/>
    <w:uiPriority w:val="9"/>
    <w:qFormat/>
    <w:rsid w:val="00841cd9"/>
    <w:rPr>
      <w:rFonts w:ascii="Cambria" w:hAnsi="Cambria" w:eastAsia="" w:cs="" w:asciiTheme="majorHAnsi" w:cstheme="majorBidi" w:eastAsiaTheme="majorEastAsia" w:hAnsiTheme="majorHAnsi"/>
      <w:b/>
      <w:bCs/>
      <w:color w:val="4F81BD" w:themeColor="accent1"/>
    </w:rPr>
  </w:style>
  <w:style w:type="character" w:styleId="Ttulo4Char" w:customStyle="1">
    <w:name w:val="Título 4 Char"/>
    <w:basedOn w:val="DefaultParagraphFont"/>
    <w:uiPriority w:val="9"/>
    <w:qFormat/>
    <w:rsid w:val="00841cd9"/>
    <w:rPr>
      <w:rFonts w:ascii="Cambria" w:hAnsi="Cambria" w:eastAsia="" w:cs="" w:asciiTheme="majorHAnsi" w:cstheme="majorBidi" w:eastAsiaTheme="majorEastAsia" w:hAnsiTheme="majorHAnsi"/>
      <w:b/>
      <w:bCs/>
      <w:i/>
      <w:iCs/>
      <w:color w:val="4F81BD" w:themeColor="accent1"/>
    </w:rPr>
  </w:style>
  <w:style w:type="character" w:styleId="SubttuloChar" w:customStyle="1">
    <w:name w:val="Subtítulo Char"/>
    <w:basedOn w:val="DefaultParagraphFont"/>
    <w:uiPriority w:val="11"/>
    <w:qFormat/>
    <w:rsid w:val="00841cd9"/>
    <w:rPr>
      <w:rFonts w:ascii="Cambria" w:hAnsi="Cambria" w:eastAsia="" w:cs="" w:asciiTheme="majorHAnsi" w:cstheme="majorBidi" w:eastAsiaTheme="majorEastAsia" w:hAnsiTheme="majorHAnsi"/>
      <w:i/>
      <w:iCs/>
      <w:color w:val="4F81BD" w:themeColor="accent1"/>
      <w:spacing w:val="15"/>
      <w:sz w:val="24"/>
      <w:szCs w:val="24"/>
    </w:rPr>
  </w:style>
  <w:style w:type="character" w:styleId="TtuloChar" w:customStyle="1">
    <w:name w:val="Título Char"/>
    <w:basedOn w:val="DefaultParagraphFont"/>
    <w:uiPriority w:val="10"/>
    <w:qFormat/>
    <w:rsid w:val="00841cd9"/>
    <w:rPr>
      <w:rFonts w:ascii="Cambria" w:hAnsi="Cambria" w:eastAsia="" w:cs="" w:asciiTheme="majorHAnsi" w:cstheme="majorBidi" w:eastAsiaTheme="majorEastAsia" w:hAnsiTheme="majorHAnsi"/>
      <w:color w:val="17365D" w:themeColor="text2" w:themeShade="bf"/>
      <w:spacing w:val="5"/>
      <w:kern w:val="2"/>
      <w:sz w:val="52"/>
      <w:szCs w:val="52"/>
    </w:rPr>
  </w:style>
  <w:style w:type="character" w:styleId="Nfase">
    <w:name w:val="Emphasis"/>
    <w:basedOn w:val="DefaultParagraphFont"/>
    <w:uiPriority w:val="20"/>
    <w:qFormat/>
    <w:rsid w:val="00d1197d"/>
    <w:rPr>
      <w:i/>
      <w:iCs/>
    </w:rPr>
  </w:style>
  <w:style w:type="character" w:styleId="LinkdaInternet" w:customStyle="1">
    <w:name w:val="Hyperlink"/>
    <w:basedOn w:val="DefaultParagraphFont"/>
    <w:uiPriority w:val="99"/>
    <w:unhideWhenUsed/>
    <w:rPr>
      <w:color w:val="0000FF" w:themeColor="hyperlink"/>
      <w:u w:val="single"/>
    </w:rPr>
  </w:style>
  <w:style w:type="character" w:styleId="TextodebaloChar" w:customStyle="1">
    <w:name w:val="Texto de balão Char"/>
    <w:basedOn w:val="DefaultParagraphFont"/>
    <w:link w:val="BalloonText"/>
    <w:uiPriority w:val="99"/>
    <w:semiHidden/>
    <w:qFormat/>
    <w:rsid w:val="004b2739"/>
    <w:rPr>
      <w:rFonts w:ascii="Tahoma" w:hAnsi="Tahoma" w:cs="Tahoma"/>
      <w:sz w:val="16"/>
      <w:szCs w:val="16"/>
      <w:lang w:val="pt-BR" w:eastAsia="pt-BR" w:bidi="pt-BR"/>
    </w:rPr>
  </w:style>
  <w:style w:type="character" w:styleId="RodapChar" w:customStyle="1">
    <w:name w:val="Rodapé Char"/>
    <w:basedOn w:val="DefaultParagraphFont"/>
    <w:uiPriority w:val="99"/>
    <w:qFormat/>
    <w:rsid w:val="00d85f4c"/>
    <w:rPr>
      <w:lang w:val="pt-BR" w:eastAsia="pt-BR" w:bidi="pt-BR"/>
    </w:rPr>
  </w:style>
  <w:style w:type="character" w:styleId="Fontepargpadro">
    <w:name w:val="Fonte parág. padrão"/>
    <w:qFormat/>
    <w:rPr/>
  </w:style>
  <w:style w:type="character" w:styleId="Strong">
    <w:name w:val="Strong"/>
    <w:qFormat/>
    <w:rPr>
      <w:b/>
      <w:bCs/>
    </w:rPr>
  </w:style>
  <w:style w:type="character" w:styleId="WWCharLFO3LVL1">
    <w:name w:val="WW_CharLFO3LVL1"/>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3LVL2">
    <w:name w:val="WW_CharLFO3LVL2"/>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3LVL3">
    <w:name w:val="WW_CharLFO3LVL3"/>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3LVL4">
    <w:name w:val="WW_CharLFO3LVL4"/>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3LVL5">
    <w:name w:val="WW_CharLFO3LVL5"/>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3LVL6">
    <w:name w:val="WW_CharLFO3LVL6"/>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3LVL7">
    <w:name w:val="WW_CharLFO3LVL7"/>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3LVL8">
    <w:name w:val="WW_CharLFO3LVL8"/>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3LVL9">
    <w:name w:val="WW_CharLFO3LVL9"/>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4LVL1">
    <w:name w:val="WW_CharLFO4LVL1"/>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4LVL2">
    <w:name w:val="WW_CharLFO4LVL2"/>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4LVL3">
    <w:name w:val="WW_CharLFO4LVL3"/>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4LVL4">
    <w:name w:val="WW_CharLFO4LVL4"/>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4LVL5">
    <w:name w:val="WW_CharLFO4LVL5"/>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4LVL6">
    <w:name w:val="WW_CharLFO4LVL6"/>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4LVL7">
    <w:name w:val="WW_CharLFO4LVL7"/>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4LVL8">
    <w:name w:val="WW_CharLFO4LVL8"/>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4LVL9">
    <w:name w:val="WW_CharLFO4LVL9"/>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5LVL1">
    <w:name w:val="WW_CharLFO5LVL1"/>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5LVL2">
    <w:name w:val="WW_CharLFO5LVL2"/>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5LVL3">
    <w:name w:val="WW_CharLFO5LVL3"/>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5LVL4">
    <w:name w:val="WW_CharLFO5LVL4"/>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5LVL5">
    <w:name w:val="WW_CharLFO5LVL5"/>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5LVL6">
    <w:name w:val="WW_CharLFO5LVL6"/>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5LVL7">
    <w:name w:val="WW_CharLFO5LVL7"/>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5LVL8">
    <w:name w:val="WW_CharLFO5LVL8"/>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5LVL9">
    <w:name w:val="WW_CharLFO5LVL9"/>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Smbolosdenumerao">
    <w:name w:val="Símbolos de numeração"/>
    <w:qFormat/>
    <w:rPr/>
  </w:style>
  <w:style w:type="character" w:styleId="Marcadores">
    <w:name w:val="Marcadores"/>
    <w:qFormat/>
    <w:rPr>
      <w:rFonts w:ascii="OpenSymbol" w:hAnsi="OpenSymbol" w:eastAsia="OpenSymbol" w:cs="OpenSymbol"/>
    </w:rPr>
  </w:style>
  <w:style w:type="paragraph" w:styleId="Ttulo">
    <w:name w:val="Título"/>
    <w:basedOn w:val="Normal"/>
    <w:next w:val="Corpodotexto"/>
    <w:qFormat/>
    <w:pPr>
      <w:keepNext w:val="true"/>
      <w:spacing w:before="240" w:after="120"/>
    </w:pPr>
    <w:rPr>
      <w:rFonts w:ascii="Liberation Sans" w:hAnsi="Liberation Sans" w:eastAsia="Microsoft YaHei" w:cs="Arial"/>
      <w:sz w:val="28"/>
      <w:szCs w:val="28"/>
    </w:rPr>
  </w:style>
  <w:style w:type="paragraph" w:styleId="Corpodotexto">
    <w:name w:val="Body Text"/>
    <w:basedOn w:val="Normal"/>
    <w:pPr>
      <w:spacing w:lineRule="auto" w:line="276" w:before="0" w:after="140"/>
    </w:pPr>
    <w:rPr/>
  </w:style>
  <w:style w:type="paragraph" w:styleId="Lista">
    <w:name w:val="List"/>
    <w:basedOn w:val="Corpodotexto"/>
    <w:pPr/>
    <w:rPr>
      <w:rFonts w:cs="Arial"/>
    </w:rPr>
  </w:style>
  <w:style w:type="paragraph" w:styleId="Legenda">
    <w:name w:val="Caption"/>
    <w:basedOn w:val="Normal"/>
    <w:qFormat/>
    <w:pPr>
      <w:suppressLineNumbers/>
      <w:spacing w:before="120" w:after="120"/>
    </w:pPr>
    <w:rPr>
      <w:rFonts w:cs="Arial"/>
      <w:i/>
      <w:iCs/>
      <w:sz w:val="24"/>
      <w:szCs w:val="24"/>
    </w:rPr>
  </w:style>
  <w:style w:type="paragraph" w:styleId="Ndice" w:customStyle="1">
    <w:name w:val="Índice"/>
    <w:basedOn w:val="Normal"/>
    <w:qFormat/>
    <w:pPr>
      <w:suppressLineNumbers/>
    </w:pPr>
    <w:rPr>
      <w:rFonts w:cs="Arial"/>
    </w:rPr>
  </w:style>
  <w:style w:type="paragraph" w:styleId="Ttulododocumento">
    <w:name w:val="Title"/>
    <w:basedOn w:val="Normal"/>
    <w:next w:val="Corpodotexto"/>
    <w:link w:val="TtuloChar"/>
    <w:uiPriority w:val="10"/>
    <w:qFormat/>
    <w:rsid w:val="00841cd9"/>
    <w:pPr>
      <w:pBdr>
        <w:bottom w:val="single" w:sz="8" w:space="4" w:color="4F81BD"/>
      </w:pBdr>
      <w:spacing w:before="120" w:after="300"/>
      <w:contextualSpacing/>
    </w:pPr>
    <w:rPr>
      <w:rFonts w:ascii="Cambria" w:hAnsi="Cambria" w:eastAsia="" w:cs="" w:asciiTheme="majorHAnsi" w:cstheme="majorBidi" w:eastAsiaTheme="majorEastAsia" w:hAnsiTheme="majorHAnsi"/>
      <w:color w:val="17365D" w:themeColor="text2" w:themeShade="bf"/>
      <w:spacing w:val="5"/>
      <w:kern w:val="2"/>
      <w:sz w:val="52"/>
      <w:szCs w:val="52"/>
    </w:rPr>
  </w:style>
  <w:style w:type="paragraph" w:styleId="Caption1">
    <w:name w:val="caption1"/>
    <w:basedOn w:val="Normal"/>
    <w:next w:val="Normal"/>
    <w:uiPriority w:val="35"/>
    <w:semiHidden/>
    <w:unhideWhenUsed/>
    <w:qFormat/>
    <w:rsid w:val="007109c0"/>
    <w:pPr/>
    <w:rPr>
      <w:b/>
      <w:bCs/>
      <w:color w:val="4F81BD" w:themeColor="accent1"/>
      <w:sz w:val="18"/>
      <w:szCs w:val="18"/>
    </w:rPr>
  </w:style>
  <w:style w:type="paragraph" w:styleId="CabealhoeRodap" w:customStyle="1">
    <w:name w:val="Cabeçalho e Rodapé"/>
    <w:basedOn w:val="Normal"/>
    <w:qFormat/>
    <w:pPr/>
    <w:rPr/>
  </w:style>
  <w:style w:type="paragraph" w:styleId="Cabealho">
    <w:name w:val="Header"/>
    <w:basedOn w:val="Normal"/>
    <w:link w:val="CabealhoChar"/>
    <w:uiPriority w:val="99"/>
    <w:unhideWhenUsed/>
    <w:rsid w:val="00841cd9"/>
    <w:pPr>
      <w:tabs>
        <w:tab w:val="clear" w:pos="708"/>
        <w:tab w:val="center" w:pos="4680" w:leader="none"/>
        <w:tab w:val="right" w:pos="9360" w:leader="none"/>
      </w:tabs>
    </w:pPr>
    <w:rPr/>
  </w:style>
  <w:style w:type="paragraph" w:styleId="NormalIndent">
    <w:name w:val="Normal Indent"/>
    <w:basedOn w:val="Normal"/>
    <w:uiPriority w:val="99"/>
    <w:unhideWhenUsed/>
    <w:qFormat/>
    <w:rsid w:val="00841cd9"/>
    <w:pPr>
      <w:ind w:left="720" w:hanging="0"/>
    </w:pPr>
    <w:rPr/>
  </w:style>
  <w:style w:type="paragraph" w:styleId="Subttulo">
    <w:name w:val="Subtitle"/>
    <w:basedOn w:val="Normal"/>
    <w:next w:val="Normal"/>
    <w:link w:val="SubttuloChar"/>
    <w:uiPriority w:val="11"/>
    <w:qFormat/>
    <w:rsid w:val="00841cd9"/>
    <w:pPr>
      <w:ind w:left="86" w:hanging="0"/>
    </w:pPr>
    <w:rPr>
      <w:rFonts w:ascii="Cambria" w:hAnsi="Cambria" w:eastAsia="" w:cs="" w:asciiTheme="majorHAnsi" w:cstheme="majorBidi" w:eastAsiaTheme="majorEastAsia" w:hAnsiTheme="majorHAnsi"/>
      <w:i/>
      <w:iCs/>
      <w:color w:val="4F81BD" w:themeColor="accent1"/>
      <w:spacing w:val="15"/>
      <w:sz w:val="24"/>
      <w:szCs w:val="24"/>
    </w:rPr>
  </w:style>
  <w:style w:type="paragraph" w:styleId="BalloonText">
    <w:name w:val="Balloon Text"/>
    <w:basedOn w:val="Normal"/>
    <w:link w:val="TextodebaloChar"/>
    <w:uiPriority w:val="99"/>
    <w:semiHidden/>
    <w:unhideWhenUsed/>
    <w:qFormat/>
    <w:rsid w:val="004b2739"/>
    <w:pPr>
      <w:spacing w:before="0" w:after="0"/>
    </w:pPr>
    <w:rPr>
      <w:rFonts w:ascii="Tahoma" w:hAnsi="Tahoma" w:cs="Tahoma"/>
      <w:sz w:val="16"/>
      <w:szCs w:val="16"/>
    </w:rPr>
  </w:style>
  <w:style w:type="paragraph" w:styleId="ListParagraph">
    <w:name w:val="List Paragraph"/>
    <w:basedOn w:val="Normal"/>
    <w:uiPriority w:val="99"/>
    <w:unhideWhenUsed/>
    <w:qFormat/>
    <w:rsid w:val="00747357"/>
    <w:pPr>
      <w:spacing w:before="120" w:after="120"/>
      <w:ind w:left="720" w:hanging="0"/>
      <w:contextualSpacing/>
    </w:pPr>
    <w:rPr/>
  </w:style>
  <w:style w:type="paragraph" w:styleId="NormalWeb">
    <w:name w:val="Normal (Web)"/>
    <w:basedOn w:val="Normal"/>
    <w:uiPriority w:val="99"/>
    <w:semiHidden/>
    <w:unhideWhenUsed/>
    <w:qFormat/>
    <w:rsid w:val="0067246e"/>
    <w:pPr>
      <w:suppressAutoHyphens w:val="false"/>
      <w:spacing w:beforeAutospacing="1" w:afterAutospacing="1"/>
    </w:pPr>
    <w:rPr>
      <w:rFonts w:ascii="Times New Roman" w:hAnsi="Times New Roman" w:eastAsia="Times New Roman" w:cs="Times New Roman"/>
      <w:sz w:val="24"/>
      <w:szCs w:val="24"/>
      <w:lang w:bidi="ar-SA"/>
    </w:rPr>
  </w:style>
  <w:style w:type="paragraph" w:styleId="Rodap">
    <w:name w:val="Footer"/>
    <w:basedOn w:val="Normal"/>
    <w:link w:val="RodapChar"/>
    <w:uiPriority w:val="99"/>
    <w:unhideWhenUsed/>
    <w:rsid w:val="00d85f4c"/>
    <w:pPr>
      <w:tabs>
        <w:tab w:val="clear" w:pos="708"/>
        <w:tab w:val="center" w:pos="4252" w:leader="none"/>
        <w:tab w:val="right" w:pos="8504" w:leader="none"/>
      </w:tabs>
      <w:spacing w:before="0" w:after="0"/>
    </w:pPr>
    <w:rPr/>
  </w:style>
  <w:style w:type="paragraph" w:styleId="LO-Normal">
    <w:name w:val="LO-Normal"/>
    <w:qFormat/>
    <w:pPr>
      <w:widowControl/>
      <w:suppressAutoHyphens w:val="true"/>
      <w:bidi w:val="0"/>
      <w:spacing w:lineRule="auto" w:line="240" w:before="120" w:after="120"/>
      <w:jc w:val="left"/>
    </w:pPr>
    <w:rPr>
      <w:rFonts w:ascii="Calibri" w:hAnsi="Calibri" w:eastAsia="Calibri" w:cs="" w:asciiTheme="minorHAnsi" w:cstheme="minorBidi" w:eastAsiaTheme="minorHAnsi" w:hAnsiTheme="minorHAnsi"/>
      <w:color w:val="auto"/>
      <w:kern w:val="0"/>
      <w:sz w:val="22"/>
      <w:szCs w:val="22"/>
      <w:lang w:val="pt-BR" w:eastAsia="pt-BR" w:bidi="pt-BR"/>
    </w:rPr>
  </w:style>
  <w:style w:type="paragraph" w:styleId="LO-Normal0">
    <w:name w:val="LO-Normal0"/>
    <w:qFormat/>
    <w:pPr>
      <w:widowControl/>
      <w:suppressAutoHyphens w:val="true"/>
      <w:bidi w:val="0"/>
      <w:spacing w:lineRule="auto" w:line="240" w:before="120" w:after="120"/>
      <w:jc w:val="left"/>
    </w:pPr>
    <w:rPr>
      <w:rFonts w:ascii="Calibri" w:hAnsi="Calibri" w:eastAsia="Calibri" w:cs="" w:asciiTheme="minorHAnsi" w:cstheme="minorBidi" w:eastAsiaTheme="minorHAnsi" w:hAnsiTheme="minorHAnsi"/>
      <w:color w:val="auto"/>
      <w:kern w:val="0"/>
      <w:sz w:val="22"/>
      <w:szCs w:val="22"/>
      <w:lang w:val="pt-BR" w:eastAsia="pt-BR" w:bidi="pt-BR"/>
    </w:rPr>
  </w:style>
  <w:style w:type="paragraph" w:styleId="Contedodatabela">
    <w:name w:val="Conteúdo da tabela"/>
    <w:basedOn w:val="Normal"/>
    <w:qFormat/>
    <w:pPr>
      <w:widowControl w:val="false"/>
      <w:suppressLineNumbers/>
    </w:pPr>
    <w:rPr/>
  </w:style>
  <w:style w:type="paragraph" w:styleId="Ttulodetabela">
    <w:name w:val="Título de tabela"/>
    <w:basedOn w:val="Contedodatabela"/>
    <w:qFormat/>
    <w:pPr>
      <w:suppressLineNumbers/>
      <w:jc w:val="center"/>
    </w:pPr>
    <w:rPr>
      <w:b/>
      <w:bCs/>
    </w:rPr>
  </w:style>
  <w:style w:type="paragraph" w:styleId="LO-Normal1">
    <w:name w:val="LO-Normal1"/>
    <w:qFormat/>
    <w:pPr>
      <w:widowControl/>
      <w:tabs>
        <w:tab w:val="clear" w:pos="708"/>
      </w:tabs>
      <w:suppressAutoHyphens w:val="true"/>
      <w:bidi w:val="0"/>
      <w:spacing w:lineRule="auto" w:line="264" w:before="0" w:after="218"/>
      <w:ind w:left="4700" w:right="298" w:hanging="5"/>
      <w:jc w:val="both"/>
    </w:pPr>
    <w:rPr>
      <w:rFonts w:ascii="Calibri" w:hAnsi="Calibri" w:eastAsia="Calibri" w:cs="Calibri" w:asciiTheme="minorHAnsi" w:eastAsiaTheme="minorHAnsi" w:hAnsiTheme="minorHAnsi"/>
      <w:color w:val="000000"/>
      <w:kern w:val="0"/>
      <w:sz w:val="22"/>
      <w:szCs w:val="22"/>
      <w:lang w:val="en-US" w:eastAsia="en-US" w:bidi="ar-SA"/>
    </w:rPr>
  </w:style>
  <w:style w:type="paragraph" w:styleId="LO-Normal2">
    <w:name w:val="LO-Normal2"/>
    <w:qFormat/>
    <w:pPr>
      <w:widowControl/>
      <w:tabs>
        <w:tab w:val="clear" w:pos="708"/>
      </w:tabs>
      <w:suppressAutoHyphens w:val="true"/>
      <w:bidi w:val="0"/>
      <w:spacing w:lineRule="auto" w:line="264" w:before="0" w:after="218"/>
      <w:ind w:left="4700" w:right="298" w:hanging="5"/>
      <w:jc w:val="both"/>
    </w:pPr>
    <w:rPr>
      <w:rFonts w:ascii="Calibri" w:hAnsi="Calibri" w:eastAsia="Calibri" w:cs="Calibri" w:asciiTheme="minorHAnsi" w:eastAsiaTheme="minorHAnsi" w:hAnsiTheme="minorHAnsi"/>
      <w:color w:val="000000"/>
      <w:kern w:val="0"/>
      <w:sz w:val="22"/>
      <w:szCs w:val="22"/>
      <w:lang w:val="en-US" w:eastAsia="en-US" w:bidi="ar-SA"/>
    </w:rPr>
  </w:style>
  <w:style w:type="paragraph" w:styleId="Citaes">
    <w:name w:val="Citações"/>
    <w:basedOn w:val="Normal"/>
    <w:qFormat/>
    <w:pPr>
      <w:spacing w:before="120" w:after="283"/>
      <w:ind w:left="567" w:right="567" w:hanging="0"/>
    </w:pPr>
    <w:rPr/>
  </w:style>
  <w:style w:type="paragraph" w:styleId="TableParagraph">
    <w:name w:val="Table Paragraph"/>
    <w:basedOn w:val="Normal"/>
    <w:qFormat/>
    <w:pPr/>
    <w:rPr/>
  </w:style>
  <w:style w:type="paragraph" w:styleId="Contedodoquadro">
    <w:name w:val="Conteúdo do quadro"/>
    <w:basedOn w:val="Normal"/>
    <w:qFormat/>
    <w:pPr/>
    <w:rPr/>
  </w:style>
  <w:style w:type="numbering" w:styleId="NoList" w:default="1">
    <w:name w:val="No List"/>
    <w:uiPriority w:val="99"/>
    <w:semiHidden/>
    <w:unhideWhenUsed/>
    <w:qFormat/>
  </w:style>
  <w:style w:type="table" w:default="1" w:styleId="Tabelanormal">
    <w:name w:val="Normal Table"/>
    <w:uiPriority w:val="99"/>
    <w:semiHidden/>
    <w:unhideWhenUsed/>
    <w:tblPr>
      <w:tblCellMar>
        <w:top w:w="0" w:type="dxa"/>
        <w:left w:w="108" w:type="dxa"/>
        <w:bottom w:w="0" w:type="dxa"/>
        <w:right w:w="108" w:type="dxa"/>
      </w:tblCellMar>
    </w:tblPr>
  </w:style>
  <w:style w:type="table" w:styleId="Tabelacomgrade">
    <w:name w:val="Table Grid"/>
    <w:basedOn w:val="Tabelanormal"/>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_rels/header1.xml.rels><?xml version="1.0" encoding="UTF-8"?>
<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xmlns:r="http://schemas.openxmlformats.org/officeDocument/2006/relationships" name="Tema do Office">
  <a:themeElements>
    <a:clrScheme name="Escritório">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1007</TotalTime>
  <Application>LibreOffice/7.5.2.2$Windows_X86_64 LibreOffice_project/53bb9681a964705cf672590721dbc85eb4d0c3a2</Application>
  <AppVersion>15.0000</AppVersion>
  <Pages>5</Pages>
  <Words>1362</Words>
  <Characters>7381</Characters>
  <CharactersWithSpaces>8714</CharactersWithSpaces>
  <Paragraphs>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Felipe Catani</dc:creator>
  <dc:description/>
  <dc:language>pt-BR</dc:language>
  <cp:lastModifiedBy/>
  <cp:lastPrinted>2025-08-13T11:23:46Z</cp:lastPrinted>
  <dcterms:modified xsi:type="dcterms:W3CDTF">2025-09-25T09:12:38Z</dcterms:modified>
  <cp:revision>181</cp:revision>
  <dc:subject/>
  <dc:title/>
</cp:coreProperties>
</file>

<file path=docProps/custom.xml><?xml version="1.0" encoding="utf-8"?>
<Properties xmlns="http://schemas.openxmlformats.org/officeDocument/2006/custom-properties" xmlns:vt="http://schemas.openxmlformats.org/officeDocument/2006/docPropsVTypes"/>
</file>