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jpeg" ContentType="image/jpeg"/>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120" w:after="0"/>
        <w:jc w:val="both"/>
        <w:rPr>
          <w:b/>
          <w:bCs/>
          <w:sz w:val="26"/>
          <w:szCs w:val="26"/>
        </w:rPr>
      </w:pPr>
      <w:r>
        <w:rPr/>
      </w:r>
    </w:p>
    <w:p>
      <w:pPr>
        <w:pStyle w:val="Normal"/>
        <w:spacing w:before="120" w:after="0"/>
        <w:jc w:val="both"/>
        <w:rPr>
          <w:rFonts w:ascii="Calibri" w:hAnsi="Calibri"/>
          <w:b/>
          <w:bCs/>
          <w:sz w:val="26"/>
          <w:szCs w:val="26"/>
        </w:rPr>
      </w:pPr>
      <w:r>
        <w:rPr>
          <w:b/>
          <w:bCs/>
          <w:sz w:val="26"/>
          <w:szCs w:val="26"/>
        </w:rPr>
      </w:r>
    </w:p>
    <w:p>
      <w:pPr>
        <w:pStyle w:val="Normal"/>
        <w:widowControl w:val="false"/>
        <w:numPr>
          <w:ilvl w:val="0"/>
          <w:numId w:val="0"/>
        </w:numPr>
        <w:shd w:val="clear" w:color="auto" w:fill="FFFFFF"/>
        <w:suppressAutoHyphens w:val="true"/>
        <w:bidi w:val="0"/>
        <w:spacing w:before="300" w:after="150"/>
        <w:ind w:left="5272" w:right="0" w:hanging="0"/>
        <w:jc w:val="both"/>
        <w:rPr/>
      </w:pPr>
      <w:r>
        <w:rPr>
          <w:rStyle w:val="Fontepargpadro"/>
          <w:b/>
          <w:bCs/>
          <w:i w:val="false"/>
          <w:color w:val="000000"/>
          <w:sz w:val="26"/>
          <w:szCs w:val="26"/>
        </w:rPr>
        <w:t>Dispõe sobre as diretrizes orçamentárias para o exercício de 2026 e dá outras providências.</w:t>
      </w:r>
    </w:p>
    <w:p>
      <w:pPr>
        <w:pStyle w:val="Citaes"/>
        <w:spacing w:lineRule="auto" w:line="247" w:before="199" w:after="0"/>
        <w:ind w:left="567" w:right="481" w:hanging="0"/>
        <w:jc w:val="both"/>
        <w:rPr>
          <w:rFonts w:ascii="Calibri" w:hAnsi="Calibri"/>
          <w:b w:val="false"/>
          <w:i w:val="false"/>
          <w:i w:val="false"/>
          <w:caps w:val="false"/>
          <w:smallCaps w:val="false"/>
          <w:color w:val="000000"/>
          <w:spacing w:val="0"/>
          <w:sz w:val="26"/>
          <w:szCs w:val="26"/>
        </w:rPr>
      </w:pPr>
      <w:r>
        <w:rPr>
          <w:b w:val="false"/>
          <w:i w:val="false"/>
          <w:caps w:val="false"/>
          <w:smallCaps w:val="false"/>
          <w:color w:val="000000"/>
          <w:spacing w:val="0"/>
          <w:sz w:val="26"/>
          <w:szCs w:val="26"/>
        </w:rPr>
      </w:r>
    </w:p>
    <w:p>
      <w:pPr>
        <w:pStyle w:val="Default"/>
        <w:jc w:val="both"/>
        <w:rPr>
          <w:rFonts w:ascii="Calibri" w:hAnsi="Calibri"/>
          <w:sz w:val="26"/>
          <w:szCs w:val="26"/>
        </w:rPr>
      </w:pPr>
      <w:r>
        <w:rPr>
          <w:sz w:val="26"/>
          <w:szCs w:val="26"/>
        </w:rPr>
      </w:r>
    </w:p>
    <w:p>
      <w:pPr>
        <w:pStyle w:val="Default"/>
        <w:jc w:val="center"/>
        <w:rPr>
          <w:rFonts w:ascii="Calibri" w:hAnsi="Calibri"/>
          <w:b/>
          <w:bCs/>
          <w:color w:val="000000"/>
          <w:sz w:val="26"/>
          <w:szCs w:val="26"/>
        </w:rPr>
      </w:pPr>
      <w:r>
        <w:rPr>
          <w:b/>
          <w:bCs/>
          <w:color w:val="000000"/>
          <w:sz w:val="26"/>
          <w:szCs w:val="26"/>
        </w:rPr>
        <w:t xml:space="preserve">CAPÍTULO I </w:t>
      </w:r>
    </w:p>
    <w:p>
      <w:pPr>
        <w:pStyle w:val="Default"/>
        <w:jc w:val="center"/>
        <w:rPr>
          <w:rFonts w:ascii="Calibri" w:hAnsi="Calibri"/>
          <w:b/>
          <w:bCs/>
          <w:color w:val="000000"/>
          <w:sz w:val="26"/>
          <w:szCs w:val="26"/>
        </w:rPr>
      </w:pPr>
      <w:r>
        <w:rPr>
          <w:b/>
          <w:bCs/>
          <w:color w:val="000000"/>
          <w:sz w:val="26"/>
          <w:szCs w:val="26"/>
        </w:rPr>
        <w:t>DAS DISPOSIÇÕES PRELIMINARES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Art. 1º Ficam estabelecidas, em cumprimento ao disposto no § 2º do art. 165 da Constituição Federal e na Lei Complementar Federal nº 101, de 4 de maio de 2000, à Lei</w:t>
      </w:r>
    </w:p>
    <w:p>
      <w:pPr>
        <w:pStyle w:val="Default"/>
        <w:jc w:val="both"/>
        <w:rPr/>
      </w:pPr>
      <w:r>
        <w:rPr>
          <w:color w:val="000000"/>
          <w:sz w:val="26"/>
          <w:szCs w:val="26"/>
        </w:rPr>
        <w:t xml:space="preserve">de Responsabilidade Fiscal, às diretrizes orçamentárias do Município para o exercício de 2026 nos termos desta Lei. </w:t>
      </w:r>
    </w:p>
    <w:p>
      <w:pPr>
        <w:pStyle w:val="Default"/>
        <w:jc w:val="both"/>
        <w:rPr>
          <w:color w:val="000000"/>
        </w:rPr>
      </w:pPr>
      <w:r>
        <w:rPr>
          <w:color w:val="000000"/>
        </w:rPr>
      </w:r>
    </w:p>
    <w:p>
      <w:pPr>
        <w:pStyle w:val="Default"/>
        <w:jc w:val="both"/>
        <w:rPr/>
      </w:pPr>
      <w:r>
        <w:rPr>
          <w:color w:val="000000"/>
          <w:sz w:val="26"/>
          <w:szCs w:val="26"/>
        </w:rPr>
        <w:t>Parágrafo único. Faz parte integrante desta Lei os seguintes anexos: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I - previsão e metodologia de cálculo da Receita na forma do art. 12 da LC nº 101;</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II - anexo das metas e prioridades para o exercício;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III - previsão da Receita Corrente Líquida; </w:t>
      </w:r>
    </w:p>
    <w:p>
      <w:pPr>
        <w:pStyle w:val="Default"/>
        <w:jc w:val="both"/>
        <w:rPr>
          <w:color w:val="000000"/>
        </w:rPr>
      </w:pPr>
      <w:r>
        <w:rPr>
          <w:color w:val="000000"/>
        </w:rPr>
      </w:r>
    </w:p>
    <w:p>
      <w:pPr>
        <w:pStyle w:val="Default"/>
        <w:jc w:val="both"/>
        <w:rPr/>
      </w:pPr>
      <w:r>
        <w:rPr>
          <w:color w:val="000000"/>
          <w:sz w:val="26"/>
          <w:szCs w:val="26"/>
        </w:rPr>
        <w:t>IV -anexo de metas fiscais, que conterá:</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 metas anuais de resultado nominal, primário e dívida pública para o exercício a que se refere a proposta e os dois seguintes, instruído com memória e metodologia de cálculo que justifiquem os resultados pretendidos; </w:t>
      </w:r>
    </w:p>
    <w:p>
      <w:pPr>
        <w:pStyle w:val="Default"/>
        <w:jc w:val="both"/>
        <w:rPr>
          <w:color w:val="000000"/>
        </w:rPr>
      </w:pPr>
      <w:r>
        <w:rPr>
          <w:color w:val="000000"/>
        </w:rPr>
      </w:r>
    </w:p>
    <w:p>
      <w:pPr>
        <w:pStyle w:val="Default"/>
        <w:jc w:val="both"/>
        <w:rPr/>
      </w:pPr>
      <w:r>
        <w:rPr>
          <w:color w:val="000000"/>
          <w:sz w:val="26"/>
          <w:szCs w:val="26"/>
        </w:rPr>
        <w:t xml:space="preserve">b) avaliação do cumprimento das metas fiscais do exercício anterior; </w:t>
      </w:r>
    </w:p>
    <w:p>
      <w:pPr>
        <w:pStyle w:val="Default"/>
        <w:jc w:val="both"/>
        <w:rPr>
          <w:color w:val="000000"/>
        </w:rPr>
      </w:pPr>
      <w:r>
        <w:rPr>
          <w:color w:val="000000"/>
        </w:rPr>
      </w:r>
    </w:p>
    <w:p>
      <w:pPr>
        <w:pStyle w:val="Default"/>
        <w:jc w:val="both"/>
        <w:rPr/>
      </w:pPr>
      <w:r>
        <w:rPr>
          <w:color w:val="000000"/>
          <w:sz w:val="26"/>
          <w:szCs w:val="26"/>
        </w:rPr>
        <w:t>c) metas fiscais atuais comparadas com as fixadas nos três exercícios anteriores;</w:t>
      </w:r>
    </w:p>
    <w:p>
      <w:pPr>
        <w:pStyle w:val="Default"/>
        <w:jc w:val="both"/>
        <w:rPr>
          <w:color w:val="000000"/>
        </w:rPr>
      </w:pPr>
      <w:r>
        <w:rPr>
          <w:color w:val="000000"/>
        </w:rPr>
      </w:r>
    </w:p>
    <w:p>
      <w:pPr>
        <w:pStyle w:val="Default"/>
        <w:jc w:val="both"/>
        <w:rPr/>
      </w:pPr>
      <w:r>
        <w:rPr>
          <w:color w:val="000000"/>
          <w:sz w:val="26"/>
          <w:szCs w:val="26"/>
        </w:rPr>
        <w:t>d) evolução do patrimônio líquido;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e) origem e aplicação dos recursos obtidos com a alienação de ativos;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f) planejamento da despesa com pessoal do Executivo, Legislativo e Autarquia; </w:t>
      </w:r>
    </w:p>
    <w:p>
      <w:pPr>
        <w:pStyle w:val="Default"/>
        <w:jc w:val="both"/>
        <w:rPr>
          <w:color w:val="000000"/>
        </w:rPr>
      </w:pPr>
      <w:r>
        <w:rPr>
          <w:color w:val="000000"/>
        </w:rPr>
      </w:r>
    </w:p>
    <w:p>
      <w:pPr>
        <w:pStyle w:val="Default"/>
        <w:jc w:val="both"/>
        <w:rPr/>
      </w:pPr>
      <w:r>
        <w:rPr>
          <w:color w:val="000000"/>
          <w:sz w:val="26"/>
          <w:szCs w:val="26"/>
        </w:rPr>
        <w:t xml:space="preserve">g) estimativa e compensação da renúncia da receita; </w:t>
      </w:r>
    </w:p>
    <w:p>
      <w:pPr>
        <w:pStyle w:val="Default"/>
        <w:jc w:val="both"/>
        <w:rPr>
          <w:color w:val="000000"/>
        </w:rPr>
      </w:pPr>
      <w:r>
        <w:rPr>
          <w:color w:val="000000"/>
        </w:rPr>
      </w:r>
    </w:p>
    <w:p>
      <w:pPr>
        <w:pStyle w:val="Default"/>
        <w:jc w:val="both"/>
        <w:rPr/>
      </w:pPr>
      <w:r>
        <w:rPr>
          <w:color w:val="000000"/>
          <w:sz w:val="26"/>
          <w:szCs w:val="26"/>
        </w:rPr>
        <w:t xml:space="preserve">h) margem de expansão das despesas obrigatórias de caráter continuado; </w:t>
      </w:r>
    </w:p>
    <w:p>
      <w:pPr>
        <w:pStyle w:val="Default"/>
        <w:jc w:val="both"/>
        <w:rPr>
          <w:color w:val="000000"/>
        </w:rPr>
      </w:pPr>
      <w:r>
        <w:rPr>
          <w:color w:val="000000"/>
        </w:rPr>
      </w:r>
    </w:p>
    <w:p>
      <w:pPr>
        <w:pStyle w:val="Default"/>
        <w:jc w:val="both"/>
        <w:rPr/>
      </w:pPr>
      <w:r>
        <w:rPr>
          <w:color w:val="000000"/>
          <w:sz w:val="26"/>
          <w:szCs w:val="26"/>
        </w:rPr>
        <w:t xml:space="preserve">V – anexo de Riscos Fiscais; </w:t>
      </w:r>
    </w:p>
    <w:p>
      <w:pPr>
        <w:pStyle w:val="Default"/>
        <w:jc w:val="both"/>
        <w:rPr>
          <w:color w:val="000000"/>
        </w:rPr>
      </w:pPr>
      <w:r>
        <w:rPr>
          <w:color w:val="000000"/>
        </w:rPr>
      </w:r>
    </w:p>
    <w:p>
      <w:pPr>
        <w:pStyle w:val="Default"/>
        <w:jc w:val="both"/>
        <w:rPr/>
      </w:pPr>
      <w:r>
        <w:rPr>
          <w:color w:val="000000"/>
          <w:sz w:val="26"/>
          <w:szCs w:val="26"/>
        </w:rPr>
        <w:t>VI- relatório dos projetos em andamento e posição sobre a situação de conservação do patrimônio público e providências a serem adotadas pelo Executivo, nos termos da Lei Complementar Federal no 101, de 2000, parágrafo único do art. 45.</w:t>
      </w:r>
    </w:p>
    <w:p>
      <w:pPr>
        <w:pStyle w:val="Default"/>
        <w:jc w:val="both"/>
        <w:rPr>
          <w:color w:val="000000"/>
        </w:rPr>
      </w:pPr>
      <w:r>
        <w:rPr>
          <w:color w:val="000000"/>
        </w:rPr>
      </w:r>
    </w:p>
    <w:p>
      <w:pPr>
        <w:pStyle w:val="Default"/>
        <w:jc w:val="center"/>
        <w:rPr>
          <w:rFonts w:ascii="Calibri" w:hAnsi="Calibri"/>
          <w:b/>
          <w:bCs/>
          <w:color w:val="000000"/>
          <w:sz w:val="26"/>
          <w:szCs w:val="26"/>
        </w:rPr>
      </w:pPr>
      <w:r>
        <w:rPr>
          <w:b/>
          <w:bCs/>
          <w:color w:val="000000"/>
          <w:sz w:val="26"/>
          <w:szCs w:val="26"/>
        </w:rPr>
        <w:t xml:space="preserve"> </w:t>
      </w:r>
      <w:r>
        <w:rPr>
          <w:b/>
          <w:bCs/>
          <w:color w:val="000000"/>
          <w:sz w:val="26"/>
          <w:szCs w:val="26"/>
        </w:rPr>
        <w:t>CAPÍTULO II</w:t>
      </w:r>
    </w:p>
    <w:p>
      <w:pPr>
        <w:pStyle w:val="Default"/>
        <w:jc w:val="center"/>
        <w:rPr>
          <w:rFonts w:ascii="Calibri" w:hAnsi="Calibri"/>
          <w:b/>
          <w:bCs/>
          <w:color w:val="000000"/>
          <w:sz w:val="26"/>
          <w:szCs w:val="26"/>
        </w:rPr>
      </w:pPr>
      <w:r>
        <w:rPr>
          <w:b/>
          <w:bCs/>
          <w:color w:val="000000"/>
          <w:sz w:val="26"/>
          <w:szCs w:val="26"/>
        </w:rPr>
        <w:t>DAS DIRETRIZES, OBJETIVOS E METAS</w:t>
      </w:r>
    </w:p>
    <w:p>
      <w:pPr>
        <w:pStyle w:val="Default"/>
        <w:jc w:val="both"/>
        <w:rPr>
          <w:color w:val="000000"/>
        </w:rPr>
      </w:pPr>
      <w:r>
        <w:rPr>
          <w:color w:val="000000"/>
        </w:rPr>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2º Os valores constantes no Anexo de Metas e Prioridades que trata este artigo possuem caráter indicativo e não normativo. Parágrafo único. </w:t>
      </w:r>
    </w:p>
    <w:p>
      <w:pPr>
        <w:pStyle w:val="Default"/>
        <w:jc w:val="both"/>
        <w:rPr>
          <w:color w:val="000000"/>
        </w:rPr>
      </w:pPr>
      <w:r>
        <w:rPr>
          <w:color w:val="000000"/>
        </w:rPr>
      </w:r>
    </w:p>
    <w:p>
      <w:pPr>
        <w:pStyle w:val="Default"/>
        <w:jc w:val="both"/>
        <w:rPr/>
      </w:pPr>
      <w:r>
        <w:rPr>
          <w:color w:val="000000"/>
          <w:sz w:val="26"/>
          <w:szCs w:val="26"/>
        </w:rPr>
        <w:t xml:space="preserve">Os valores constantes nos programas no plano plurianual ficam atualizados pelos valores previstos nesta Lei. </w:t>
      </w:r>
    </w:p>
    <w:p>
      <w:pPr>
        <w:pStyle w:val="Default"/>
        <w:jc w:val="both"/>
        <w:rPr>
          <w:color w:val="000000"/>
        </w:rPr>
      </w:pPr>
      <w:r>
        <w:rPr>
          <w:color w:val="000000"/>
        </w:rPr>
      </w:r>
    </w:p>
    <w:p>
      <w:pPr>
        <w:pStyle w:val="Default"/>
        <w:jc w:val="both"/>
        <w:rPr/>
      </w:pPr>
      <w:r>
        <w:rPr>
          <w:color w:val="000000"/>
          <w:sz w:val="26"/>
          <w:szCs w:val="26"/>
        </w:rPr>
        <w:t>Art. 3º Os códigos dos programas de governo devem ser os mesmos utilizados no Plano Plurianual.</w:t>
      </w:r>
    </w:p>
    <w:p>
      <w:pPr>
        <w:pStyle w:val="Default"/>
        <w:jc w:val="center"/>
        <w:rPr>
          <w:b/>
          <w:bCs/>
          <w:color w:val="000000"/>
        </w:rPr>
      </w:pPr>
      <w:r>
        <w:rPr>
          <w:b/>
          <w:bCs/>
          <w:color w:val="000000"/>
        </w:rPr>
      </w:r>
    </w:p>
    <w:p>
      <w:pPr>
        <w:pStyle w:val="Default"/>
        <w:jc w:val="center"/>
        <w:rPr>
          <w:rFonts w:ascii="Calibri" w:hAnsi="Calibri"/>
          <w:b/>
          <w:bCs/>
          <w:color w:val="000000"/>
          <w:sz w:val="26"/>
          <w:szCs w:val="26"/>
        </w:rPr>
      </w:pPr>
      <w:r>
        <w:rPr>
          <w:b/>
          <w:bCs/>
          <w:color w:val="000000"/>
          <w:sz w:val="26"/>
          <w:szCs w:val="26"/>
        </w:rPr>
        <w:t xml:space="preserve"> </w:t>
      </w:r>
      <w:r>
        <w:rPr>
          <w:b/>
          <w:bCs/>
          <w:color w:val="000000"/>
          <w:sz w:val="26"/>
          <w:szCs w:val="26"/>
        </w:rPr>
        <w:t>CAPÍTULO III</w:t>
      </w:r>
    </w:p>
    <w:p>
      <w:pPr>
        <w:pStyle w:val="Default"/>
        <w:jc w:val="center"/>
        <w:rPr>
          <w:rFonts w:ascii="Calibri" w:hAnsi="Calibri"/>
          <w:b/>
          <w:bCs/>
          <w:color w:val="000000"/>
          <w:sz w:val="26"/>
          <w:szCs w:val="26"/>
        </w:rPr>
      </w:pPr>
      <w:r>
        <w:rPr>
          <w:b/>
          <w:bCs/>
          <w:color w:val="000000"/>
          <w:sz w:val="26"/>
          <w:szCs w:val="26"/>
        </w:rPr>
        <w:t>A ESTRUTURA E ORGANIZAÇÃO DO ORÇAMENTO</w:t>
      </w:r>
    </w:p>
    <w:p>
      <w:pPr>
        <w:pStyle w:val="Default"/>
        <w:jc w:val="center"/>
        <w:rPr>
          <w:b/>
          <w:bCs/>
          <w:color w:val="000000"/>
        </w:rPr>
      </w:pPr>
      <w:r>
        <w:rPr>
          <w:b/>
          <w:bCs/>
          <w:color w:val="000000"/>
        </w:rPr>
      </w:r>
    </w:p>
    <w:p>
      <w:pPr>
        <w:pStyle w:val="Default"/>
        <w:jc w:val="center"/>
        <w:rPr>
          <w:rFonts w:ascii="Calibri" w:hAnsi="Calibri"/>
          <w:b/>
          <w:bCs/>
          <w:color w:val="000000"/>
          <w:sz w:val="26"/>
          <w:szCs w:val="26"/>
        </w:rPr>
      </w:pPr>
      <w:r>
        <w:rPr>
          <w:b/>
          <w:bCs/>
          <w:color w:val="000000"/>
          <w:sz w:val="26"/>
          <w:szCs w:val="26"/>
        </w:rPr>
        <w:t xml:space="preserve"> </w:t>
      </w:r>
      <w:r>
        <w:rPr>
          <w:b/>
          <w:bCs/>
          <w:color w:val="000000"/>
          <w:sz w:val="26"/>
          <w:szCs w:val="26"/>
        </w:rPr>
        <w:t>Seção I</w:t>
      </w:r>
    </w:p>
    <w:p>
      <w:pPr>
        <w:pStyle w:val="Default"/>
        <w:jc w:val="center"/>
        <w:rPr>
          <w:rFonts w:ascii="Calibri" w:hAnsi="Calibri"/>
          <w:b/>
          <w:bCs/>
          <w:color w:val="000000"/>
          <w:sz w:val="26"/>
          <w:szCs w:val="26"/>
        </w:rPr>
      </w:pPr>
      <w:r>
        <w:rPr>
          <w:b/>
          <w:bCs/>
          <w:color w:val="000000"/>
          <w:sz w:val="26"/>
          <w:szCs w:val="26"/>
        </w:rPr>
        <w:t xml:space="preserve">Da Apresentação do Orçamento </w:t>
      </w:r>
    </w:p>
    <w:p>
      <w:pPr>
        <w:pStyle w:val="Default"/>
        <w:jc w:val="both"/>
        <w:rPr>
          <w:color w:val="000000"/>
        </w:rPr>
      </w:pPr>
      <w:r>
        <w:rPr>
          <w:color w:val="000000"/>
        </w:rPr>
      </w:r>
    </w:p>
    <w:p>
      <w:pPr>
        <w:pStyle w:val="Default"/>
        <w:jc w:val="both"/>
        <w:rPr>
          <w:color w:val="000000"/>
        </w:rPr>
      </w:pPr>
      <w:r>
        <w:rPr>
          <w:color w:val="000000"/>
        </w:rPr>
      </w:r>
    </w:p>
    <w:p>
      <w:pPr>
        <w:pStyle w:val="Default"/>
        <w:jc w:val="both"/>
        <w:rPr/>
      </w:pPr>
      <w:r>
        <w:rPr>
          <w:color w:val="000000"/>
          <w:sz w:val="26"/>
          <w:szCs w:val="26"/>
        </w:rPr>
        <w:t>Art. 4º Os Orçamentos Fiscal e da Seguridade Social do Município compreenderão a programação da administração direta e indireta.</w:t>
      </w:r>
    </w:p>
    <w:p>
      <w:pPr>
        <w:pStyle w:val="Default"/>
        <w:jc w:val="both"/>
        <w:rPr>
          <w:color w:val="000000"/>
        </w:rPr>
      </w:pPr>
      <w:r>
        <w:rPr>
          <w:color w:val="000000"/>
        </w:rPr>
      </w:r>
    </w:p>
    <w:p>
      <w:pPr>
        <w:pStyle w:val="Default"/>
        <w:jc w:val="both"/>
        <w:rPr/>
      </w:pPr>
      <w:r>
        <w:rPr>
          <w:color w:val="000000"/>
          <w:sz w:val="26"/>
          <w:szCs w:val="26"/>
        </w:rPr>
        <w:t xml:space="preserve"> </w:t>
      </w:r>
    </w:p>
    <w:p>
      <w:pPr>
        <w:pStyle w:val="Default"/>
        <w:jc w:val="both"/>
        <w:rPr/>
      </w:pPr>
      <w:r>
        <w:rPr>
          <w:color w:val="000000"/>
          <w:sz w:val="26"/>
          <w:szCs w:val="26"/>
        </w:rPr>
        <w:t>Art. 5º O orçamento discriminará a despesa por órgão e unidade orçamentária, detalhada por categoria de programação até o nível de modalidade de aplicação, nos termos da Portaria STN nº. 163, art. 6º.</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Parágrafo único. A modalidade de aplicação, os elementos de despesa e os desdobramentos incluídos neles o vínculo das fontes de recursos, poderão ser criados e alterados diretamente no SIAFIC, sem a necessidade de edição atos normativos formais. </w:t>
      </w:r>
    </w:p>
    <w:p>
      <w:pPr>
        <w:pStyle w:val="Default"/>
        <w:jc w:val="both"/>
        <w:rPr>
          <w:color w:val="000000"/>
        </w:rPr>
      </w:pPr>
      <w:r>
        <w:rPr>
          <w:color w:val="000000"/>
        </w:rPr>
      </w:r>
    </w:p>
    <w:p>
      <w:pPr>
        <w:pStyle w:val="Default"/>
        <w:jc w:val="center"/>
        <w:rPr>
          <w:b/>
          <w:bCs/>
        </w:rPr>
      </w:pPr>
      <w:r>
        <w:rPr>
          <w:b/>
          <w:bCs/>
          <w:color w:val="000000"/>
          <w:sz w:val="26"/>
          <w:szCs w:val="26"/>
        </w:rPr>
        <w:t xml:space="preserve">Seção II </w:t>
      </w:r>
    </w:p>
    <w:p>
      <w:pPr>
        <w:pStyle w:val="Default"/>
        <w:jc w:val="both"/>
        <w:rPr>
          <w:color w:val="000000"/>
        </w:rPr>
      </w:pPr>
      <w:r>
        <w:rPr>
          <w:color w:val="000000"/>
        </w:rPr>
      </w:r>
    </w:p>
    <w:p>
      <w:pPr>
        <w:pStyle w:val="Default"/>
        <w:jc w:val="center"/>
        <w:rPr>
          <w:b/>
          <w:bCs/>
        </w:rPr>
      </w:pPr>
      <w:r>
        <w:rPr>
          <w:b/>
          <w:bCs/>
          <w:color w:val="000000"/>
          <w:sz w:val="26"/>
          <w:szCs w:val="26"/>
        </w:rPr>
        <w:t xml:space="preserve">Da Reserva de Contingência, das despesas Irrelevantes e do Cronograma de desembolso mensal </w:t>
      </w:r>
    </w:p>
    <w:p>
      <w:pPr>
        <w:pStyle w:val="Default"/>
        <w:jc w:val="both"/>
        <w:rPr>
          <w:color w:val="000000"/>
        </w:rPr>
      </w:pPr>
      <w:r>
        <w:rPr>
          <w:color w:val="000000"/>
        </w:rPr>
      </w:r>
    </w:p>
    <w:p>
      <w:pPr>
        <w:pStyle w:val="Default"/>
        <w:jc w:val="both"/>
        <w:rPr/>
      </w:pPr>
      <w:r>
        <w:rPr>
          <w:color w:val="000000"/>
          <w:sz w:val="26"/>
          <w:szCs w:val="26"/>
        </w:rPr>
        <w:t xml:space="preserve">Art. 6º A Lei Orçamentária conterá reserva de contingência constituída de dotação global e corresponderá, na lei orçamentária a no máximo 3,5% da receita corrente líquida prevista para o Município, destinada ao atendimento de passivos contingentes e eventos fiscais imprevistos, nos termos do inciso III do art. 5º da Lei Complementar Federal nº 101, de 2000. </w:t>
      </w:r>
    </w:p>
    <w:p>
      <w:pPr>
        <w:pStyle w:val="Default"/>
        <w:jc w:val="both"/>
        <w:rPr>
          <w:color w:val="000000"/>
        </w:rPr>
      </w:pPr>
      <w:r>
        <w:rPr>
          <w:color w:val="000000"/>
        </w:rPr>
      </w:r>
    </w:p>
    <w:p>
      <w:pPr>
        <w:pStyle w:val="Default"/>
        <w:jc w:val="both"/>
        <w:rPr/>
      </w:pPr>
      <w:r>
        <w:rPr>
          <w:color w:val="000000"/>
          <w:sz w:val="26"/>
          <w:szCs w:val="26"/>
        </w:rPr>
        <w:t>§ 1º A lei orçamentária conterá reserva de contingência para:</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I - atendimento dos riscos fiscais;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II - servir de cobertura para créditos adicionais durante o exercício.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 2º A partir do dia 15 do mês de novembro de 2026 o saldo da reserva de contingência destinada para o atendimento de passivos contingentes e eventos fiscais imprevistos poderá ser utilizada livremente como fonte de recursos para a abertura de créditos adicionais. </w:t>
      </w:r>
    </w:p>
    <w:p>
      <w:pPr>
        <w:pStyle w:val="Default"/>
        <w:jc w:val="both"/>
        <w:rPr>
          <w:color w:val="000000"/>
        </w:rPr>
      </w:pPr>
      <w:r>
        <w:rPr>
          <w:color w:val="000000"/>
        </w:rPr>
      </w:r>
    </w:p>
    <w:p>
      <w:pPr>
        <w:pStyle w:val="Default"/>
        <w:jc w:val="both"/>
        <w:rPr/>
      </w:pPr>
      <w:r>
        <w:rPr>
          <w:color w:val="000000"/>
          <w:sz w:val="26"/>
          <w:szCs w:val="26"/>
        </w:rPr>
        <w:t xml:space="preserve">§ 3º O projeto de lei de orçamento poderá conter reserva de contingência destinada a servir de cobertura para as emendas impositivas, nos termos e percentuais do que prevê a Lei Orgânica Municipal. </w:t>
      </w:r>
    </w:p>
    <w:p>
      <w:pPr>
        <w:pStyle w:val="Default"/>
        <w:jc w:val="both"/>
        <w:rPr>
          <w:color w:val="000000"/>
        </w:rPr>
      </w:pPr>
      <w:r>
        <w:rPr>
          <w:color w:val="000000"/>
        </w:rPr>
      </w:r>
    </w:p>
    <w:p>
      <w:pPr>
        <w:pStyle w:val="Default"/>
        <w:jc w:val="both"/>
        <w:rPr/>
      </w:pPr>
      <w:r>
        <w:rPr>
          <w:color w:val="000000"/>
          <w:sz w:val="26"/>
          <w:szCs w:val="26"/>
        </w:rPr>
        <w:t xml:space="preserve">Art. 7º Para os efeitos do §3º do art. 16 da Lei Complementar Federal nº 101, de 2000, são consideradas despesas irrelevantes aquelas cujos valores não ultrapassarem os limites a que se referem os incisos I e II do art. 75 da Lei Federal nº 14.133, de 1º de abril de 2021, Lei de Licitações e Contratos Administrativos. </w:t>
      </w:r>
    </w:p>
    <w:p>
      <w:pPr>
        <w:pStyle w:val="Default"/>
        <w:jc w:val="both"/>
        <w:rPr>
          <w:color w:val="000000"/>
        </w:rPr>
      </w:pPr>
      <w:r>
        <w:rPr>
          <w:color w:val="000000"/>
        </w:rPr>
      </w:r>
    </w:p>
    <w:p>
      <w:pPr>
        <w:pStyle w:val="Default"/>
        <w:jc w:val="both"/>
        <w:rPr/>
      </w:pPr>
      <w:r>
        <w:rPr>
          <w:color w:val="000000"/>
          <w:sz w:val="26"/>
          <w:szCs w:val="26"/>
        </w:rPr>
        <w:t>Art. 8º O Poder Executivo elaborará e publicará, até trinta dias após a publicação da lei orçamentária, cronograma de desembolso mensal para o exercício, nos termos do art. 8º da Lei Complementar Federal nº 101.</w:t>
      </w:r>
    </w:p>
    <w:p>
      <w:pPr>
        <w:pStyle w:val="Default"/>
        <w:jc w:val="both"/>
        <w:rPr>
          <w:color w:val="000000"/>
        </w:rPr>
      </w:pPr>
      <w:r>
        <w:rPr>
          <w:color w:val="000000"/>
        </w:rPr>
      </w:r>
    </w:p>
    <w:p>
      <w:pPr>
        <w:pStyle w:val="Default"/>
        <w:jc w:val="center"/>
        <w:rPr>
          <w:b/>
          <w:bCs/>
        </w:rPr>
      </w:pPr>
      <w:r>
        <w:rPr>
          <w:b/>
          <w:bCs/>
          <w:color w:val="000000"/>
          <w:sz w:val="26"/>
          <w:szCs w:val="26"/>
        </w:rPr>
        <w:t xml:space="preserve"> </w:t>
      </w:r>
      <w:r>
        <w:rPr>
          <w:b/>
          <w:bCs/>
          <w:color w:val="000000"/>
          <w:sz w:val="26"/>
          <w:szCs w:val="26"/>
        </w:rPr>
        <w:t>Seção III</w:t>
      </w:r>
    </w:p>
    <w:p>
      <w:pPr>
        <w:pStyle w:val="Default"/>
        <w:jc w:val="center"/>
        <w:rPr>
          <w:b/>
          <w:bCs/>
        </w:rPr>
      </w:pPr>
      <w:r>
        <w:rPr>
          <w:b/>
          <w:bCs/>
          <w:color w:val="000000"/>
          <w:sz w:val="26"/>
          <w:szCs w:val="26"/>
        </w:rPr>
        <w:t xml:space="preserve"> </w:t>
      </w:r>
      <w:r>
        <w:rPr>
          <w:b/>
          <w:bCs/>
          <w:color w:val="000000"/>
          <w:sz w:val="26"/>
          <w:szCs w:val="26"/>
        </w:rPr>
        <w:t>Dos Recursos Correspondentes às Dotações Orçamentárias Compreendidas os Créditos Adicionais Destinados ao Poder Legislativo</w:t>
      </w:r>
    </w:p>
    <w:p>
      <w:pPr>
        <w:pStyle w:val="Default"/>
        <w:jc w:val="center"/>
        <w:rPr>
          <w:b/>
          <w:bCs/>
          <w:color w:val="000000"/>
        </w:rPr>
      </w:pPr>
      <w:r>
        <w:rPr>
          <w:b/>
          <w:bCs/>
          <w:color w:val="000000"/>
        </w:rPr>
      </w:r>
    </w:p>
    <w:p>
      <w:pPr>
        <w:pStyle w:val="Default"/>
        <w:jc w:val="both"/>
        <w:rPr/>
      </w:pPr>
      <w:r>
        <w:rPr>
          <w:color w:val="000000"/>
          <w:sz w:val="26"/>
          <w:szCs w:val="26"/>
        </w:rPr>
        <w:t xml:space="preserve"> </w:t>
      </w:r>
      <w:r>
        <w:rPr>
          <w:color w:val="000000"/>
          <w:sz w:val="26"/>
          <w:szCs w:val="26"/>
        </w:rPr>
        <w:t>Art. 9º O Poder Executivo colocará à disposição do Poder Legislativo, no mínimo trinta dias antes do prazo final para encaminhamento de sua proposta orçamentária, os estudos e as estimativas das receitas tributárias e transferências arrecadadas com a estimativa de arrecadação até o final do exercício corrente, bem como a previsão da receita corrente líquida prevista para o exercício a que se refere à proposta orçamentária e as respetivas memórias de cálculo.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10. Os valores correspondentes ao duodécimo do Poder Legislativo serão repassados conforme a programação financeira elaborada por este Poder. </w:t>
      </w:r>
    </w:p>
    <w:p>
      <w:pPr>
        <w:pStyle w:val="Default"/>
        <w:jc w:val="both"/>
        <w:rPr>
          <w:color w:val="000000"/>
        </w:rPr>
      </w:pPr>
      <w:r>
        <w:rPr>
          <w:color w:val="000000"/>
        </w:rPr>
      </w:r>
    </w:p>
    <w:p>
      <w:pPr>
        <w:pStyle w:val="Default"/>
        <w:jc w:val="both"/>
        <w:rPr/>
      </w:pPr>
      <w:r>
        <w:rPr>
          <w:color w:val="000000"/>
          <w:sz w:val="26"/>
          <w:szCs w:val="26"/>
        </w:rPr>
        <w:t>Parágrafo único. Em caso da não-elaboração do cronograma de desembolso, os duodécimos ao Legislativo se darão na forma de parcelas mensais iguais e sucessivas.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Art. 11. No Poder Legislativo os créditos adicionais suplementares com indicação de recursos compensatórios do seu próprio orçamento, nos termos do inciso III do §1º do art. 43 da Lei Federal no 4.320, de 17 de março de 1964, serão abertos por Resolução.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Art. 12. Ao final do exercício financeiro o saldo de recursos em caixa ou equivalente de caixa do Legislativo será devolvido ao Poder Executivo, deduzidos os valores correspondentes ao saldo do passivo financeiro, considerando-se somente as contas do Poder Legislativo, podendo, ainda, ser contabilizados como adiantamento de repasses para o próximo exercício.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Parágrafo único. As arrecadações de imposto de renda retido na fonte, rendimentos de aplicações financeiras e outras que venham a ingressar nos cofres públicos por intermédio do Legislativo, serão contabilizadas no Executivo como receita municipal e, concomitantemente, no Legislativo, sendo considerado como adiantamento e descontados os valores no repasse do mês seguinte.</w:t>
      </w:r>
    </w:p>
    <w:p>
      <w:pPr>
        <w:pStyle w:val="Default"/>
        <w:jc w:val="center"/>
        <w:rPr>
          <w:b/>
          <w:bCs/>
          <w:color w:val="000000"/>
        </w:rPr>
      </w:pPr>
      <w:r>
        <w:rPr>
          <w:b/>
          <w:bCs/>
          <w:color w:val="000000"/>
        </w:rPr>
      </w:r>
    </w:p>
    <w:p>
      <w:pPr>
        <w:pStyle w:val="Default"/>
        <w:jc w:val="center"/>
        <w:rPr>
          <w:rFonts w:ascii="Calibri" w:hAnsi="Calibri"/>
          <w:b/>
          <w:bCs/>
          <w:color w:val="000000"/>
          <w:sz w:val="26"/>
          <w:szCs w:val="26"/>
        </w:rPr>
      </w:pPr>
      <w:r>
        <w:rPr>
          <w:b/>
          <w:bCs/>
          <w:color w:val="000000"/>
          <w:sz w:val="26"/>
          <w:szCs w:val="26"/>
        </w:rPr>
        <w:t xml:space="preserve"> </w:t>
      </w:r>
      <w:r>
        <w:rPr>
          <w:b/>
          <w:bCs/>
          <w:color w:val="000000"/>
          <w:sz w:val="26"/>
          <w:szCs w:val="26"/>
        </w:rPr>
        <w:t xml:space="preserve">Seção IV </w:t>
      </w:r>
    </w:p>
    <w:p>
      <w:pPr>
        <w:pStyle w:val="Default"/>
        <w:jc w:val="center"/>
        <w:rPr>
          <w:rFonts w:ascii="Calibri" w:hAnsi="Calibri"/>
          <w:b/>
          <w:bCs/>
          <w:color w:val="000000"/>
          <w:sz w:val="26"/>
          <w:szCs w:val="26"/>
        </w:rPr>
      </w:pPr>
      <w:r>
        <w:rPr>
          <w:b/>
          <w:bCs/>
          <w:color w:val="000000"/>
          <w:sz w:val="26"/>
          <w:szCs w:val="26"/>
        </w:rPr>
        <w:t>Da Avaliação dos Resultados dos programas financiados com recursos dos orçamentos e das Normas Relativas ao Controle de Custos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13. Nos termos da Constituição Federal, no § 16 do art. 37, e na alínea “e” do inciso I do art. 4º da Lei Complementar Federal nº 101, de 2000, o Poder Executivo divulgará em seu sítio oficial, por ocasião da prestação de contas anual, a avaliação de suas políticas públicas. </w:t>
      </w:r>
    </w:p>
    <w:p>
      <w:pPr>
        <w:pStyle w:val="Default"/>
        <w:jc w:val="both"/>
        <w:rPr>
          <w:color w:val="000000"/>
        </w:rPr>
      </w:pPr>
      <w:r>
        <w:rPr>
          <w:color w:val="000000"/>
        </w:rPr>
      </w:r>
    </w:p>
    <w:p>
      <w:pPr>
        <w:pStyle w:val="Default"/>
        <w:jc w:val="both"/>
        <w:rPr/>
      </w:pPr>
      <w:r>
        <w:rPr>
          <w:color w:val="000000"/>
          <w:sz w:val="26"/>
          <w:szCs w:val="26"/>
        </w:rPr>
        <w:t>Art. 14. O controle de custos de que trata a alínea “e” do inciso I do art. 4º da Lei Complementar Federal nº 101, de 2000, considerará o princípio da competência mensal da despesa e apurará os custos por centro de custos, por ações e programas de governo.</w:t>
      </w:r>
    </w:p>
    <w:p>
      <w:pPr>
        <w:pStyle w:val="Default"/>
        <w:jc w:val="both"/>
        <w:rPr>
          <w:color w:val="000000"/>
        </w:rPr>
      </w:pPr>
      <w:r>
        <w:rPr>
          <w:color w:val="000000"/>
        </w:rPr>
      </w:r>
    </w:p>
    <w:p>
      <w:pPr>
        <w:pStyle w:val="Default"/>
        <w:jc w:val="center"/>
        <w:rPr>
          <w:b/>
          <w:bCs/>
        </w:rPr>
      </w:pPr>
      <w:r>
        <w:rPr>
          <w:b/>
          <w:bCs/>
          <w:color w:val="000000"/>
          <w:sz w:val="26"/>
          <w:szCs w:val="26"/>
        </w:rPr>
        <w:t xml:space="preserve"> </w:t>
      </w:r>
      <w:r>
        <w:rPr>
          <w:b/>
          <w:bCs/>
          <w:color w:val="000000"/>
          <w:sz w:val="26"/>
          <w:szCs w:val="26"/>
        </w:rPr>
        <w:t>Seção V</w:t>
      </w:r>
    </w:p>
    <w:p>
      <w:pPr>
        <w:pStyle w:val="Default"/>
        <w:jc w:val="center"/>
        <w:rPr>
          <w:b/>
          <w:bCs/>
        </w:rPr>
      </w:pPr>
      <w:r>
        <w:rPr>
          <w:b/>
          <w:bCs/>
          <w:color w:val="000000"/>
          <w:sz w:val="26"/>
          <w:szCs w:val="26"/>
        </w:rPr>
        <w:t xml:space="preserve"> </w:t>
      </w:r>
      <w:r>
        <w:rPr>
          <w:b/>
          <w:bCs/>
          <w:color w:val="000000"/>
          <w:sz w:val="26"/>
          <w:szCs w:val="26"/>
        </w:rPr>
        <w:t xml:space="preserve">Da Disposição Sobre Novos Projetos </w:t>
      </w:r>
    </w:p>
    <w:p>
      <w:pPr>
        <w:pStyle w:val="Default"/>
        <w:jc w:val="both"/>
        <w:rPr>
          <w:color w:val="000000"/>
        </w:rPr>
      </w:pPr>
      <w:r>
        <w:rPr>
          <w:color w:val="000000"/>
        </w:rPr>
      </w:r>
    </w:p>
    <w:p>
      <w:pPr>
        <w:pStyle w:val="Default"/>
        <w:jc w:val="both"/>
        <w:rPr/>
      </w:pPr>
      <w:r>
        <w:rPr>
          <w:color w:val="000000"/>
          <w:sz w:val="26"/>
          <w:szCs w:val="26"/>
        </w:rPr>
        <w:t>Art. 15. Além da observância das prioridades e metas de que trata esta Lei, a lei orçamentária e seus créditos adicionais, somente incluirão projetos novos após: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 - tiverem sido adequadamente contemplados todos os projetos em andamento com recursos necessários ao término ou a obtenção de uma unidade completa; </w:t>
      </w:r>
    </w:p>
    <w:p>
      <w:pPr>
        <w:pStyle w:val="Default"/>
        <w:jc w:val="both"/>
        <w:rPr>
          <w:color w:val="000000"/>
        </w:rPr>
      </w:pPr>
      <w:r>
        <w:rPr>
          <w:color w:val="000000"/>
        </w:rPr>
      </w:r>
    </w:p>
    <w:p>
      <w:pPr>
        <w:pStyle w:val="Default"/>
        <w:jc w:val="both"/>
        <w:rPr/>
      </w:pPr>
      <w:r>
        <w:rPr>
          <w:color w:val="000000"/>
          <w:sz w:val="26"/>
          <w:szCs w:val="26"/>
        </w:rPr>
        <w:t>II - tiverem assegurados os recursos de manutenção do patrimônio público e, efetivamente, o Poder Público estiver adotando as medidas necessárias para tanto.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Parágrafo único. Não constitui infração a este artigo o início de novo projeto, mesmo possuindo outros projetos em andamento, caso haja suficiente previsão de recursos orçamentários e financeiros para o atendimento dos projetos em andamento e novos. </w:t>
      </w:r>
    </w:p>
    <w:p>
      <w:pPr>
        <w:pStyle w:val="Default"/>
        <w:jc w:val="both"/>
        <w:rPr>
          <w:color w:val="000000"/>
        </w:rPr>
      </w:pPr>
      <w:r>
        <w:rPr>
          <w:color w:val="000000"/>
        </w:rPr>
      </w:r>
    </w:p>
    <w:p>
      <w:pPr>
        <w:pStyle w:val="Default"/>
        <w:jc w:val="center"/>
        <w:rPr>
          <w:b/>
          <w:bCs/>
        </w:rPr>
      </w:pPr>
      <w:r>
        <w:rPr>
          <w:b/>
          <w:bCs/>
          <w:color w:val="000000"/>
          <w:sz w:val="26"/>
          <w:szCs w:val="26"/>
        </w:rPr>
        <w:t xml:space="preserve">Seção VI </w:t>
      </w:r>
    </w:p>
    <w:p>
      <w:pPr>
        <w:pStyle w:val="Default"/>
        <w:jc w:val="center"/>
        <w:rPr>
          <w:b/>
          <w:bCs/>
        </w:rPr>
      </w:pPr>
      <w:r>
        <w:rPr>
          <w:b/>
          <w:bCs/>
          <w:color w:val="000000"/>
          <w:sz w:val="26"/>
          <w:szCs w:val="26"/>
        </w:rPr>
        <w:t xml:space="preserve">Da Transferência de Recursos para outros Entes </w:t>
      </w:r>
    </w:p>
    <w:p>
      <w:pPr>
        <w:pStyle w:val="Default"/>
        <w:jc w:val="both"/>
        <w:rPr>
          <w:color w:val="000000"/>
        </w:rPr>
      </w:pPr>
      <w:r>
        <w:rPr>
          <w:color w:val="000000"/>
        </w:rPr>
      </w:r>
    </w:p>
    <w:p>
      <w:pPr>
        <w:pStyle w:val="Default"/>
        <w:jc w:val="both"/>
        <w:rPr/>
      </w:pPr>
      <w:r>
        <w:rPr>
          <w:color w:val="000000"/>
          <w:sz w:val="26"/>
          <w:szCs w:val="26"/>
        </w:rPr>
        <w:t xml:space="preserve">Art. 16. Para fins de cumprimento do art. 62 da Lei Complementar Federal nº 101, de 2000, fica o Município autorizado a firmar convênio ou congêneres, com a União ou o Estado, com vistas ao desenvolvimento local e custeio de despesas correntes e de capital destes entes em caso de interesse local. </w:t>
      </w:r>
    </w:p>
    <w:p>
      <w:pPr>
        <w:pStyle w:val="Default"/>
        <w:jc w:val="both"/>
        <w:rPr>
          <w:color w:val="000000"/>
        </w:rPr>
      </w:pPr>
      <w:r>
        <w:rPr>
          <w:color w:val="000000"/>
        </w:rPr>
      </w:r>
    </w:p>
    <w:p>
      <w:pPr>
        <w:pStyle w:val="Default"/>
        <w:jc w:val="both"/>
        <w:rPr/>
      </w:pPr>
      <w:r>
        <w:rPr>
          <w:color w:val="000000"/>
          <w:sz w:val="26"/>
          <w:szCs w:val="26"/>
        </w:rPr>
        <w:t xml:space="preserve">Parágrafo único. O orçamento consignará categoria de programação específica para os convênios com o Estado e a União de que trata este artigo. </w:t>
      </w:r>
    </w:p>
    <w:p>
      <w:pPr>
        <w:pStyle w:val="Default"/>
        <w:jc w:val="both"/>
        <w:rPr>
          <w:color w:val="000000"/>
        </w:rPr>
      </w:pPr>
      <w:r>
        <w:rPr>
          <w:color w:val="000000"/>
        </w:rPr>
      </w:r>
    </w:p>
    <w:p>
      <w:pPr>
        <w:pStyle w:val="Default"/>
        <w:jc w:val="center"/>
        <w:rPr>
          <w:b/>
          <w:bCs/>
        </w:rPr>
      </w:pPr>
      <w:r>
        <w:rPr>
          <w:b/>
          <w:bCs/>
          <w:color w:val="000000"/>
          <w:sz w:val="26"/>
          <w:szCs w:val="26"/>
        </w:rPr>
        <w:t>Seção VII</w:t>
      </w:r>
    </w:p>
    <w:p>
      <w:pPr>
        <w:pStyle w:val="Default"/>
        <w:jc w:val="center"/>
        <w:rPr>
          <w:b/>
          <w:bCs/>
        </w:rPr>
      </w:pPr>
      <w:r>
        <w:rPr>
          <w:b/>
          <w:bCs/>
          <w:color w:val="000000"/>
          <w:sz w:val="26"/>
          <w:szCs w:val="26"/>
        </w:rPr>
        <w:t xml:space="preserve"> </w:t>
      </w:r>
      <w:r>
        <w:rPr>
          <w:b/>
          <w:bCs/>
          <w:color w:val="000000"/>
          <w:sz w:val="26"/>
          <w:szCs w:val="26"/>
        </w:rPr>
        <w:t>Da Transferência de Recursos para as Entidades da Administração Indireta</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Art. 17. O Município poderá efetuar transferências financeiras, autorizadas em lei específica, conforme preconiza o inciso VIII do art. 167 da Constituição da República, as entidades da Administração Indireta até os limites necessários à manutenção das entidades ou investimentos previstos e que não haja suficiente disponibilidade financeira, respeitados os limites orçamentários das entidades.</w:t>
      </w:r>
    </w:p>
    <w:p>
      <w:pPr>
        <w:pStyle w:val="Default"/>
        <w:jc w:val="both"/>
        <w:rPr>
          <w:color w:val="000000"/>
        </w:rPr>
      </w:pPr>
      <w:r>
        <w:rPr>
          <w:color w:val="000000"/>
        </w:rPr>
      </w:r>
    </w:p>
    <w:p>
      <w:pPr>
        <w:pStyle w:val="Default"/>
        <w:jc w:val="center"/>
        <w:rPr>
          <w:b/>
          <w:bCs/>
        </w:rPr>
      </w:pPr>
      <w:r>
        <w:rPr>
          <w:b/>
          <w:bCs/>
          <w:color w:val="000000"/>
          <w:sz w:val="26"/>
          <w:szCs w:val="26"/>
        </w:rPr>
        <w:t xml:space="preserve"> </w:t>
      </w:r>
      <w:r>
        <w:rPr>
          <w:b/>
          <w:bCs/>
          <w:color w:val="000000"/>
          <w:sz w:val="26"/>
          <w:szCs w:val="26"/>
        </w:rPr>
        <w:t>Seção VIII</w:t>
      </w:r>
    </w:p>
    <w:p>
      <w:pPr>
        <w:pStyle w:val="Default"/>
        <w:jc w:val="center"/>
        <w:rPr>
          <w:b/>
          <w:bCs/>
        </w:rPr>
      </w:pPr>
      <w:r>
        <w:rPr>
          <w:b/>
          <w:bCs/>
          <w:color w:val="000000"/>
          <w:sz w:val="26"/>
          <w:szCs w:val="26"/>
        </w:rPr>
        <w:t xml:space="preserve"> </w:t>
      </w:r>
      <w:r>
        <w:rPr>
          <w:b/>
          <w:bCs/>
          <w:color w:val="000000"/>
          <w:sz w:val="26"/>
          <w:szCs w:val="26"/>
        </w:rPr>
        <w:t>Das Transferências de Recursos para o Setor Privado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18. A transferência de recursos a organizações da sociedade civil sem fins lucrativos ocorrerá de acordo com a Lei Federal nº 13.019, de 31 de julho de 2014. </w:t>
      </w:r>
    </w:p>
    <w:p>
      <w:pPr>
        <w:pStyle w:val="Default"/>
        <w:jc w:val="both"/>
        <w:rPr>
          <w:color w:val="000000"/>
        </w:rPr>
      </w:pPr>
      <w:r>
        <w:rPr>
          <w:color w:val="000000"/>
        </w:rPr>
      </w:r>
    </w:p>
    <w:p>
      <w:pPr>
        <w:pStyle w:val="Default"/>
        <w:jc w:val="both"/>
        <w:rPr/>
      </w:pPr>
      <w:r>
        <w:rPr>
          <w:color w:val="000000"/>
          <w:sz w:val="26"/>
          <w:szCs w:val="26"/>
        </w:rPr>
        <w:t xml:space="preserve">Art. 19. O auxílio para pessoas físicas poderá ser autorizado, e dependerá de interesse público motivado conforme a solicitação, lei específica e prestação de contas. </w:t>
      </w:r>
    </w:p>
    <w:p>
      <w:pPr>
        <w:pStyle w:val="Default"/>
        <w:jc w:val="both"/>
        <w:rPr>
          <w:color w:val="000000"/>
        </w:rPr>
      </w:pPr>
      <w:r>
        <w:rPr>
          <w:color w:val="000000"/>
        </w:rPr>
      </w:r>
    </w:p>
    <w:p>
      <w:pPr>
        <w:pStyle w:val="Default"/>
        <w:jc w:val="both"/>
        <w:rPr/>
      </w:pPr>
      <w:r>
        <w:rPr>
          <w:color w:val="000000"/>
          <w:sz w:val="26"/>
          <w:szCs w:val="26"/>
        </w:rPr>
        <w:t xml:space="preserve">Art. 20. A transferência de recursos públicos com a finalidade de conceder benefícios fiscais ou econômicos, além das condições fiscais previstas no art. 14 da Lei de Responsabilidade Fiscal, deverá ser autorizada por lei específica, se dar em conformidade ao plano de incentivos definido em lei local e ser formalizado em contrato. </w:t>
      </w:r>
    </w:p>
    <w:p>
      <w:pPr>
        <w:pStyle w:val="Default"/>
        <w:jc w:val="both"/>
        <w:rPr>
          <w:color w:val="000000"/>
        </w:rPr>
      </w:pPr>
      <w:r>
        <w:rPr>
          <w:color w:val="000000"/>
        </w:rPr>
      </w:r>
    </w:p>
    <w:p>
      <w:pPr>
        <w:pStyle w:val="Default"/>
        <w:jc w:val="both"/>
        <w:rPr/>
      </w:pPr>
      <w:r>
        <w:rPr>
          <w:color w:val="000000"/>
          <w:sz w:val="26"/>
          <w:szCs w:val="26"/>
        </w:rPr>
        <w:t xml:space="preserve">Art. 21. No que se refere à concessão de empréstimos financeiros destinados a pessoas físicas e jurídicas, os encargos financeiros de juros não serão inferiores a doze por cento ao ano ou ao custo de captação, nos termos do que dispõe o art. 27 da Lei Complementar Federal no 101, de 2000. </w:t>
      </w:r>
    </w:p>
    <w:p>
      <w:pPr>
        <w:pStyle w:val="Default"/>
        <w:jc w:val="both"/>
        <w:rPr>
          <w:color w:val="000000"/>
        </w:rPr>
      </w:pPr>
      <w:r>
        <w:rPr>
          <w:color w:val="000000"/>
        </w:rPr>
      </w:r>
    </w:p>
    <w:p>
      <w:pPr>
        <w:pStyle w:val="Default"/>
        <w:jc w:val="both"/>
        <w:rPr/>
      </w:pPr>
      <w:r>
        <w:rPr>
          <w:color w:val="000000"/>
          <w:sz w:val="26"/>
          <w:szCs w:val="26"/>
        </w:rPr>
        <w:t>Art. 22. Fica autorizado ao Poder Executivo a patrocinar atividades culturais, esportivas, e outras que geram desenvolvimento turístico e socioeconômico que justifiquem a associação da imagem do patrocinado a do Município.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Parágrafo único. O patrocínio poderá ser concedido se autorizado por lei específica ou lei geral que estabeleça os critérios de sua utilização.</w:t>
      </w:r>
    </w:p>
    <w:p>
      <w:pPr>
        <w:pStyle w:val="Default"/>
        <w:jc w:val="both"/>
        <w:rPr>
          <w:color w:val="000000"/>
        </w:rPr>
      </w:pPr>
      <w:r>
        <w:rPr>
          <w:color w:val="000000"/>
        </w:rPr>
      </w:r>
    </w:p>
    <w:p>
      <w:pPr>
        <w:pStyle w:val="Default"/>
        <w:jc w:val="center"/>
        <w:rPr>
          <w:b/>
          <w:bCs/>
        </w:rPr>
      </w:pPr>
      <w:r>
        <w:rPr>
          <w:b/>
          <w:bCs/>
          <w:color w:val="000000"/>
          <w:sz w:val="26"/>
          <w:szCs w:val="26"/>
        </w:rPr>
        <w:t xml:space="preserve"> </w:t>
      </w:r>
      <w:r>
        <w:rPr>
          <w:b/>
          <w:bCs/>
          <w:color w:val="000000"/>
          <w:sz w:val="26"/>
          <w:szCs w:val="26"/>
        </w:rPr>
        <w:t>Seção IX</w:t>
      </w:r>
    </w:p>
    <w:p>
      <w:pPr>
        <w:pStyle w:val="Default"/>
        <w:jc w:val="center"/>
        <w:rPr>
          <w:b/>
          <w:bCs/>
        </w:rPr>
      </w:pPr>
      <w:r>
        <w:rPr>
          <w:b/>
          <w:bCs/>
          <w:color w:val="000000"/>
          <w:sz w:val="26"/>
          <w:szCs w:val="26"/>
        </w:rPr>
        <w:t xml:space="preserve"> </w:t>
      </w:r>
      <w:r>
        <w:rPr>
          <w:b/>
          <w:bCs/>
          <w:color w:val="000000"/>
          <w:sz w:val="26"/>
          <w:szCs w:val="26"/>
        </w:rPr>
        <w:t>Da Transposição, Remanejamento e Transferência</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23. Fica o Poder Executivo, mediante decreto, autorizado a efetuar transposição, remanejamento e transferências de dotações orçamentárias. </w:t>
      </w:r>
    </w:p>
    <w:p>
      <w:pPr>
        <w:pStyle w:val="Default"/>
        <w:jc w:val="both"/>
        <w:rPr>
          <w:color w:val="000000"/>
        </w:rPr>
      </w:pPr>
      <w:r>
        <w:rPr>
          <w:color w:val="000000"/>
        </w:rPr>
      </w:r>
    </w:p>
    <w:p>
      <w:pPr>
        <w:pStyle w:val="Default"/>
        <w:jc w:val="both"/>
        <w:rPr/>
      </w:pPr>
      <w:r>
        <w:rPr>
          <w:color w:val="000000"/>
          <w:sz w:val="26"/>
          <w:szCs w:val="26"/>
        </w:rPr>
        <w:t xml:space="preserve">§1º A transposição, remanejamento e transferência são instrumentos de flexibilização orçamentária, diferenciando-se dos créditos adicionais que têm a função de corrigir o planejamento. </w:t>
      </w:r>
    </w:p>
    <w:p>
      <w:pPr>
        <w:pStyle w:val="Default"/>
        <w:jc w:val="both"/>
        <w:rPr>
          <w:color w:val="000000"/>
        </w:rPr>
      </w:pPr>
      <w:r>
        <w:rPr>
          <w:color w:val="000000"/>
        </w:rPr>
      </w:r>
    </w:p>
    <w:p>
      <w:pPr>
        <w:pStyle w:val="Default"/>
        <w:jc w:val="both"/>
        <w:rPr/>
      </w:pPr>
      <w:r>
        <w:rPr>
          <w:color w:val="000000"/>
          <w:sz w:val="26"/>
          <w:szCs w:val="26"/>
        </w:rPr>
        <w:t>§2º Para efeitos desta Lei entende-se como:</w:t>
      </w:r>
    </w:p>
    <w:p>
      <w:pPr>
        <w:pStyle w:val="Default"/>
        <w:jc w:val="both"/>
        <w:rPr/>
      </w:pPr>
      <w:r>
        <w:rPr>
          <w:color w:val="000000"/>
          <w:sz w:val="26"/>
          <w:szCs w:val="26"/>
        </w:rPr>
        <w:t xml:space="preserve"> </w:t>
      </w:r>
      <w:r>
        <w:rPr>
          <w:color w:val="000000"/>
          <w:sz w:val="26"/>
          <w:szCs w:val="26"/>
        </w:rPr>
        <w:t xml:space="preserve">I - transposições: movimentações dentro de um mesmo órgão, podendo ser entre programas diferentes ou não, mediante alteração de prioridades de execução ou transferência de saldos de projetos ou atividades já encerrados ou que não serão mais utilizados; </w:t>
      </w:r>
    </w:p>
    <w:p>
      <w:pPr>
        <w:pStyle w:val="Default"/>
        <w:jc w:val="both"/>
        <w:rPr>
          <w:color w:val="000000"/>
        </w:rPr>
      </w:pPr>
      <w:r>
        <w:rPr>
          <w:color w:val="000000"/>
        </w:rPr>
      </w:r>
    </w:p>
    <w:p>
      <w:pPr>
        <w:pStyle w:val="Default"/>
        <w:jc w:val="both"/>
        <w:rPr/>
      </w:pPr>
      <w:r>
        <w:rPr>
          <w:color w:val="000000"/>
          <w:sz w:val="26"/>
          <w:szCs w:val="26"/>
        </w:rPr>
        <w:t xml:space="preserve">II - remanejamentos: realocações entre órgão diversos derivados de reformas administrativas ou alterações em lotações de servidores; </w:t>
      </w:r>
    </w:p>
    <w:p>
      <w:pPr>
        <w:pStyle w:val="Default"/>
        <w:jc w:val="both"/>
        <w:rPr>
          <w:color w:val="000000"/>
        </w:rPr>
      </w:pPr>
      <w:r>
        <w:rPr>
          <w:color w:val="000000"/>
        </w:rPr>
      </w:r>
    </w:p>
    <w:p>
      <w:pPr>
        <w:pStyle w:val="Default"/>
        <w:jc w:val="both"/>
        <w:rPr/>
      </w:pPr>
      <w:r>
        <w:rPr>
          <w:color w:val="000000"/>
          <w:sz w:val="26"/>
          <w:szCs w:val="26"/>
        </w:rPr>
        <w:t>III – transferências: alterações entre projetos e atividades dentro de um mesmo órgão e um mesmo programa.</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3º A abertura ou reabertura de crédito adicional suplementar, necessária para a execução orçamentaria, devido a transposição, remanejamento e as transferências, serão realizadas através de desdobramento da despesa e automática modificação do Quadro de Detalhamento da Despesa (QDD) e não somam nos limites de suplementações orçamentárias a serem estabelecidos em Lei.</w:t>
      </w:r>
    </w:p>
    <w:p>
      <w:pPr>
        <w:pStyle w:val="Default"/>
        <w:jc w:val="both"/>
        <w:rPr>
          <w:color w:val="000000"/>
        </w:rPr>
      </w:pPr>
      <w:r>
        <w:rPr>
          <w:color w:val="000000"/>
        </w:rPr>
      </w:r>
    </w:p>
    <w:p>
      <w:pPr>
        <w:pStyle w:val="Default"/>
        <w:jc w:val="center"/>
        <w:rPr>
          <w:b/>
          <w:bCs/>
        </w:rPr>
      </w:pPr>
      <w:r>
        <w:rPr>
          <w:b/>
          <w:bCs/>
          <w:color w:val="000000"/>
          <w:sz w:val="26"/>
          <w:szCs w:val="26"/>
        </w:rPr>
        <w:t xml:space="preserve"> </w:t>
      </w:r>
      <w:r>
        <w:rPr>
          <w:b/>
          <w:bCs/>
          <w:color w:val="000000"/>
          <w:sz w:val="26"/>
          <w:szCs w:val="26"/>
        </w:rPr>
        <w:t xml:space="preserve">CAPÍTULO IV </w:t>
      </w:r>
    </w:p>
    <w:p>
      <w:pPr>
        <w:pStyle w:val="Default"/>
        <w:jc w:val="center"/>
        <w:rPr>
          <w:b/>
          <w:bCs/>
        </w:rPr>
      </w:pPr>
      <w:r>
        <w:rPr>
          <w:b/>
          <w:bCs/>
          <w:color w:val="000000"/>
          <w:sz w:val="26"/>
          <w:szCs w:val="26"/>
        </w:rPr>
        <w:t xml:space="preserve">DAS DISPOSIÇÕES RELATIVAS ÀS DESPESAS DE CARÁTER CONTINUADO </w:t>
      </w:r>
    </w:p>
    <w:p>
      <w:pPr>
        <w:pStyle w:val="Default"/>
        <w:jc w:val="center"/>
        <w:rPr>
          <w:b/>
          <w:bCs/>
          <w:color w:val="000000"/>
        </w:rPr>
      </w:pPr>
      <w:r>
        <w:rPr>
          <w:b/>
          <w:bCs/>
          <w:color w:val="000000"/>
        </w:rPr>
      </w:r>
    </w:p>
    <w:p>
      <w:pPr>
        <w:pStyle w:val="Default"/>
        <w:jc w:val="center"/>
        <w:rPr>
          <w:b/>
          <w:bCs/>
          <w:color w:val="000000"/>
        </w:rPr>
      </w:pPr>
      <w:r>
        <w:rPr>
          <w:b/>
          <w:bCs/>
          <w:color w:val="000000"/>
        </w:rPr>
      </w:r>
    </w:p>
    <w:p>
      <w:pPr>
        <w:pStyle w:val="Default"/>
        <w:jc w:val="center"/>
        <w:rPr>
          <w:b/>
          <w:bCs/>
        </w:rPr>
      </w:pPr>
      <w:r>
        <w:rPr>
          <w:b/>
          <w:bCs/>
          <w:color w:val="000000"/>
          <w:sz w:val="26"/>
          <w:szCs w:val="26"/>
        </w:rPr>
        <w:t>Seção I</w:t>
      </w:r>
    </w:p>
    <w:p>
      <w:pPr>
        <w:pStyle w:val="Default"/>
        <w:jc w:val="center"/>
        <w:rPr>
          <w:b/>
          <w:bCs/>
          <w:color w:val="000000"/>
        </w:rPr>
      </w:pPr>
      <w:r>
        <w:rPr>
          <w:b/>
          <w:bCs/>
          <w:color w:val="000000"/>
        </w:rPr>
      </w:r>
    </w:p>
    <w:p>
      <w:pPr>
        <w:pStyle w:val="Default"/>
        <w:jc w:val="center"/>
        <w:rPr>
          <w:b/>
          <w:bCs/>
        </w:rPr>
      </w:pPr>
      <w:r>
        <w:rPr>
          <w:b/>
          <w:bCs/>
          <w:color w:val="000000"/>
          <w:sz w:val="26"/>
          <w:szCs w:val="26"/>
        </w:rPr>
        <w:t xml:space="preserve"> </w:t>
      </w:r>
      <w:r>
        <w:rPr>
          <w:b/>
          <w:bCs/>
          <w:color w:val="000000"/>
          <w:sz w:val="26"/>
          <w:szCs w:val="26"/>
        </w:rPr>
        <w:t>Do Aproveitamento da Margem de Expansão das Despesas Obrigatórias de Caráter Continuado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24. A compensação de que trata o §2º do art. 17 da Lei Complementar Federal nº 101, de 2000, quando da criação ou aumento de despesas obrigatórias de caráter continuado poderá ser realizada a partir do aproveitamento da respectiva margem de expansão das despesas obrigatórias de caráter continuado. </w:t>
      </w:r>
    </w:p>
    <w:p>
      <w:pPr>
        <w:pStyle w:val="Default"/>
        <w:jc w:val="both"/>
        <w:rPr>
          <w:color w:val="000000"/>
        </w:rPr>
      </w:pPr>
      <w:r>
        <w:rPr>
          <w:color w:val="000000"/>
        </w:rPr>
      </w:r>
    </w:p>
    <w:p>
      <w:pPr>
        <w:pStyle w:val="Default"/>
        <w:jc w:val="center"/>
        <w:rPr>
          <w:b/>
          <w:bCs/>
        </w:rPr>
      </w:pPr>
      <w:r>
        <w:rPr>
          <w:b/>
          <w:bCs/>
          <w:color w:val="000000"/>
          <w:sz w:val="26"/>
          <w:szCs w:val="26"/>
        </w:rPr>
        <w:t xml:space="preserve">Seção II </w:t>
      </w:r>
    </w:p>
    <w:p>
      <w:pPr>
        <w:pStyle w:val="Default"/>
        <w:jc w:val="center"/>
        <w:rPr>
          <w:b/>
          <w:bCs/>
        </w:rPr>
      </w:pPr>
      <w:r>
        <w:rPr>
          <w:b/>
          <w:bCs/>
          <w:color w:val="000000"/>
          <w:sz w:val="26"/>
          <w:szCs w:val="26"/>
        </w:rPr>
        <w:t xml:space="preserve">Das Despesas com Pessoal </w:t>
      </w:r>
    </w:p>
    <w:p>
      <w:pPr>
        <w:pStyle w:val="Default"/>
        <w:jc w:val="both"/>
        <w:rPr>
          <w:color w:val="000000"/>
        </w:rPr>
      </w:pPr>
      <w:r>
        <w:rPr>
          <w:color w:val="000000"/>
        </w:rPr>
      </w:r>
    </w:p>
    <w:p>
      <w:pPr>
        <w:pStyle w:val="Default"/>
        <w:jc w:val="both"/>
        <w:rPr>
          <w:color w:val="000000"/>
        </w:rPr>
      </w:pPr>
      <w:r>
        <w:rPr>
          <w:color w:val="000000"/>
        </w:rPr>
      </w:r>
    </w:p>
    <w:p>
      <w:pPr>
        <w:pStyle w:val="Default"/>
        <w:jc w:val="both"/>
        <w:rPr/>
      </w:pPr>
      <w:r>
        <w:rPr>
          <w:color w:val="000000"/>
          <w:sz w:val="26"/>
          <w:szCs w:val="26"/>
        </w:rPr>
        <w:t>Art. 25. Para fins de atendimento ao disposto no inciso II do §1º do art. 169 da Constituição Federal, o aumento das despesas com pessoal do Poder Executivo, Autarquia Municipal de Turismo Gramadotur e Legislativo para o exercício a que se refere esta Lei, são os seguintes:</w:t>
      </w:r>
    </w:p>
    <w:p>
      <w:pPr>
        <w:pStyle w:val="Default"/>
        <w:jc w:val="both"/>
        <w:rPr/>
      </w:pPr>
      <w:r>
        <w:rPr>
          <w:color w:val="000000"/>
          <w:sz w:val="26"/>
          <w:szCs w:val="26"/>
        </w:rPr>
        <w:t xml:space="preserve"> </w:t>
      </w:r>
      <w:r>
        <w:rPr>
          <w:color w:val="000000"/>
          <w:sz w:val="26"/>
          <w:szCs w:val="26"/>
        </w:rPr>
        <w:t xml:space="preserve">I – no Poder Executivo e Administração Indireta: </w:t>
      </w:r>
    </w:p>
    <w:p>
      <w:pPr>
        <w:pStyle w:val="Default"/>
        <w:jc w:val="both"/>
        <w:rPr>
          <w:color w:val="000000"/>
        </w:rPr>
      </w:pPr>
      <w:r>
        <w:rPr>
          <w:color w:val="000000"/>
        </w:rPr>
      </w:r>
    </w:p>
    <w:p>
      <w:pPr>
        <w:pStyle w:val="Default"/>
        <w:jc w:val="both"/>
        <w:rPr/>
      </w:pPr>
      <w:r>
        <w:rPr>
          <w:color w:val="000000"/>
          <w:sz w:val="26"/>
          <w:szCs w:val="26"/>
        </w:rPr>
        <w:t>a) criação dos cargos conforme previsto no anexo desta Lei.</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b) nomeação de servidores para os cargos conforme previsto no anexo desta Lei. </w:t>
      </w:r>
    </w:p>
    <w:p>
      <w:pPr>
        <w:pStyle w:val="Default"/>
        <w:jc w:val="both"/>
        <w:rPr>
          <w:color w:val="000000"/>
        </w:rPr>
      </w:pPr>
      <w:r>
        <w:rPr>
          <w:color w:val="000000"/>
        </w:rPr>
      </w:r>
    </w:p>
    <w:p>
      <w:pPr>
        <w:pStyle w:val="Default"/>
        <w:jc w:val="both"/>
        <w:rPr/>
      </w:pPr>
      <w:r>
        <w:rPr>
          <w:color w:val="000000"/>
          <w:sz w:val="26"/>
          <w:szCs w:val="26"/>
        </w:rPr>
        <w:t>c) nomeação de funções de gratificadas conforme previsto no anexo desta Lei.</w:t>
      </w:r>
    </w:p>
    <w:p>
      <w:pPr>
        <w:pStyle w:val="Default"/>
        <w:jc w:val="both"/>
        <w:rPr>
          <w:color w:val="000000"/>
        </w:rPr>
      </w:pPr>
      <w:r>
        <w:rPr>
          <w:color w:val="000000"/>
        </w:rPr>
      </w:r>
    </w:p>
    <w:p>
      <w:pPr>
        <w:pStyle w:val="Default"/>
        <w:jc w:val="both"/>
        <w:rPr/>
      </w:pPr>
      <w:r>
        <w:rPr>
          <w:color w:val="000000"/>
          <w:sz w:val="26"/>
          <w:szCs w:val="26"/>
        </w:rPr>
        <w:t>d) concessão de gratificação de função para as funções conforme previsto no anexo desta Lei.</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e) ampliação de vagas nos cargos conforme previsto no anexo desta Lei.</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f) alteração do padrão de vencimento dos cargos conforme previsto no anexo desta Lei.</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g) aumento real de remuneração de até 3%.</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II – no Poder Legislativo: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a) criação dos cargos conforme previsto no anexo desta Lei.</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b) nomeação de servidores para os cargos conforme previsto no anexo desta Lei. </w:t>
      </w:r>
    </w:p>
    <w:p>
      <w:pPr>
        <w:pStyle w:val="Default"/>
        <w:jc w:val="both"/>
        <w:rPr>
          <w:color w:val="000000"/>
        </w:rPr>
      </w:pPr>
      <w:r>
        <w:rPr>
          <w:color w:val="000000"/>
        </w:rPr>
      </w:r>
    </w:p>
    <w:p>
      <w:pPr>
        <w:pStyle w:val="Default"/>
        <w:jc w:val="both"/>
        <w:rPr/>
      </w:pPr>
      <w:r>
        <w:rPr>
          <w:color w:val="000000"/>
          <w:sz w:val="26"/>
          <w:szCs w:val="26"/>
        </w:rPr>
        <w:t>c) nomeação de funções de gratificadas conforme previsto no anexo desta Lei.</w:t>
      </w:r>
    </w:p>
    <w:p>
      <w:pPr>
        <w:pStyle w:val="Default"/>
        <w:jc w:val="both"/>
        <w:rPr>
          <w:color w:val="000000"/>
        </w:rPr>
      </w:pPr>
      <w:r>
        <w:rPr>
          <w:color w:val="000000"/>
        </w:rPr>
      </w:r>
    </w:p>
    <w:p>
      <w:pPr>
        <w:pStyle w:val="Default"/>
        <w:jc w:val="both"/>
        <w:rPr/>
      </w:pPr>
      <w:r>
        <w:rPr>
          <w:color w:val="000000"/>
          <w:sz w:val="26"/>
          <w:szCs w:val="26"/>
        </w:rPr>
        <w:t>d) concessão de gratificação de função para as funções conforme previsto no anexo desta Lei.</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e) ampliação de vagas nos cargos conforme previsto no anexo desta Lei. </w:t>
      </w:r>
    </w:p>
    <w:p>
      <w:pPr>
        <w:pStyle w:val="Default"/>
        <w:jc w:val="both"/>
        <w:rPr>
          <w:color w:val="000000"/>
        </w:rPr>
      </w:pPr>
      <w:r>
        <w:rPr>
          <w:color w:val="000000"/>
        </w:rPr>
      </w:r>
    </w:p>
    <w:p>
      <w:pPr>
        <w:pStyle w:val="Default"/>
        <w:jc w:val="both"/>
        <w:rPr/>
      </w:pPr>
      <w:r>
        <w:rPr>
          <w:color w:val="000000"/>
          <w:sz w:val="26"/>
          <w:szCs w:val="26"/>
        </w:rPr>
        <w:t xml:space="preserve">f) alteração do padrão de vencimento dos cargos conforme previsto no anexo desta Lei. </w:t>
      </w:r>
    </w:p>
    <w:p>
      <w:pPr>
        <w:pStyle w:val="Default"/>
        <w:jc w:val="both"/>
        <w:rPr>
          <w:color w:val="000000"/>
        </w:rPr>
      </w:pPr>
      <w:r>
        <w:rPr>
          <w:color w:val="000000"/>
        </w:rPr>
      </w:r>
    </w:p>
    <w:p>
      <w:pPr>
        <w:pStyle w:val="Default"/>
        <w:jc w:val="both"/>
        <w:rPr/>
      </w:pPr>
      <w:r>
        <w:rPr>
          <w:color w:val="000000"/>
          <w:sz w:val="26"/>
          <w:szCs w:val="26"/>
        </w:rPr>
        <w:t>g) aumento real de remuneração de até 3%.</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 1º Além dos cargos e funções de que trata este artigo, o aumento da despesa com pessoal para o exercício a que se refere esta Lei considerará a concessão da revisão geral anual aos servidores de que trata o inciso X do art. </w:t>
      </w:r>
    </w:p>
    <w:p>
      <w:pPr>
        <w:pStyle w:val="Default"/>
        <w:jc w:val="both"/>
        <w:rPr/>
      </w:pPr>
      <w:r>
        <w:rPr>
          <w:color w:val="000000"/>
          <w:sz w:val="26"/>
          <w:szCs w:val="26"/>
        </w:rPr>
        <w:t xml:space="preserve">37 da Constituição Federal. </w:t>
      </w:r>
    </w:p>
    <w:p>
      <w:pPr>
        <w:pStyle w:val="Default"/>
        <w:jc w:val="both"/>
        <w:rPr>
          <w:color w:val="000000"/>
        </w:rPr>
      </w:pPr>
      <w:r>
        <w:rPr>
          <w:color w:val="000000"/>
        </w:rPr>
      </w:r>
    </w:p>
    <w:p>
      <w:pPr>
        <w:pStyle w:val="Default"/>
        <w:jc w:val="both"/>
        <w:rPr/>
      </w:pPr>
      <w:r>
        <w:rPr>
          <w:color w:val="000000"/>
          <w:sz w:val="26"/>
          <w:szCs w:val="26"/>
        </w:rPr>
        <w:t xml:space="preserve">§ 2º Fica o Poder Executivo e Legislativo autorizados a realizar contratação temporária por excepcional interesse público, para atendimento de interesse público motivado, na forma da legislação específica. </w:t>
      </w:r>
    </w:p>
    <w:p>
      <w:pPr>
        <w:pStyle w:val="Default"/>
        <w:jc w:val="both"/>
        <w:rPr>
          <w:color w:val="000000"/>
        </w:rPr>
      </w:pPr>
      <w:r>
        <w:rPr>
          <w:color w:val="000000"/>
        </w:rPr>
      </w:r>
    </w:p>
    <w:p>
      <w:pPr>
        <w:pStyle w:val="Default"/>
        <w:jc w:val="both"/>
        <w:rPr/>
      </w:pPr>
      <w:r>
        <w:rPr>
          <w:color w:val="000000"/>
          <w:sz w:val="26"/>
          <w:szCs w:val="26"/>
        </w:rPr>
        <w:t xml:space="preserve">Art. 26. Para efeitos do parágrafo único do art. 22 da Lei Complementar Federal nº 101, de 2000, no exercício a que se refere esta Lei, a realização de serviço extraordinário, quando a despesa com pessoal ultrapassar a noventa e cinco por cento do limite do Poder Executivo e do Legislativo, somente poderá ocorrer quando destinada ao atendimento de relevantes interesses públicos que ensejam situações emergenciais, de risco ou de prejuízo para a sociedade. </w:t>
      </w:r>
    </w:p>
    <w:p>
      <w:pPr>
        <w:pStyle w:val="Default"/>
        <w:jc w:val="center"/>
        <w:rPr>
          <w:b/>
          <w:bCs/>
          <w:color w:val="000000"/>
        </w:rPr>
      </w:pPr>
      <w:r>
        <w:rPr>
          <w:b/>
          <w:bCs/>
          <w:color w:val="000000"/>
        </w:rPr>
      </w:r>
    </w:p>
    <w:p>
      <w:pPr>
        <w:pStyle w:val="Default"/>
        <w:jc w:val="center"/>
        <w:rPr>
          <w:b/>
          <w:bCs/>
        </w:rPr>
      </w:pPr>
      <w:r>
        <w:rPr>
          <w:b/>
          <w:bCs/>
          <w:color w:val="000000"/>
          <w:sz w:val="26"/>
          <w:szCs w:val="26"/>
        </w:rPr>
        <w:t>CAPÍTULO V</w:t>
      </w:r>
    </w:p>
    <w:p>
      <w:pPr>
        <w:pStyle w:val="Default"/>
        <w:jc w:val="center"/>
        <w:rPr>
          <w:b/>
          <w:bCs/>
        </w:rPr>
      </w:pPr>
      <w:r>
        <w:rPr>
          <w:b/>
          <w:bCs/>
          <w:color w:val="000000"/>
          <w:sz w:val="26"/>
          <w:szCs w:val="26"/>
        </w:rPr>
        <w:t xml:space="preserve"> </w:t>
      </w:r>
      <w:r>
        <w:rPr>
          <w:b/>
          <w:bCs/>
          <w:color w:val="000000"/>
          <w:sz w:val="26"/>
          <w:szCs w:val="26"/>
        </w:rPr>
        <w:t xml:space="preserve">DAS DISPOSIÇÕES SOBRE A POLÍTICA TRIBUTÁRIA DO MUNICÍPIO </w:t>
      </w:r>
    </w:p>
    <w:p>
      <w:pPr>
        <w:pStyle w:val="Default"/>
        <w:jc w:val="both"/>
        <w:rPr>
          <w:color w:val="000000"/>
        </w:rPr>
      </w:pPr>
      <w:r>
        <w:rPr>
          <w:color w:val="000000"/>
        </w:rPr>
      </w:r>
    </w:p>
    <w:p>
      <w:pPr>
        <w:pStyle w:val="Default"/>
        <w:jc w:val="both"/>
        <w:rPr/>
      </w:pPr>
      <w:r>
        <w:rPr>
          <w:color w:val="000000"/>
          <w:sz w:val="26"/>
          <w:szCs w:val="26"/>
        </w:rPr>
        <w:t xml:space="preserve">Art. 27. Na política de administração tributária do Município ficam definidas as seguintes diretrizes para o exercício a que se refere esta Lei, devendo legislação específica dispor sobre: </w:t>
      </w:r>
    </w:p>
    <w:p>
      <w:pPr>
        <w:pStyle w:val="Default"/>
        <w:jc w:val="both"/>
        <w:rPr>
          <w:color w:val="000000"/>
        </w:rPr>
      </w:pPr>
      <w:r>
        <w:rPr>
          <w:color w:val="000000"/>
        </w:rPr>
      </w:r>
    </w:p>
    <w:p>
      <w:pPr>
        <w:pStyle w:val="Default"/>
        <w:jc w:val="both"/>
        <w:rPr/>
      </w:pPr>
      <w:r>
        <w:rPr>
          <w:color w:val="000000"/>
          <w:sz w:val="26"/>
          <w:szCs w:val="26"/>
        </w:rPr>
        <w:t xml:space="preserve">I - concessão de anistia parcial aos contribuintes inscritos em dívida ativa do Município; </w:t>
      </w:r>
    </w:p>
    <w:p>
      <w:pPr>
        <w:pStyle w:val="Default"/>
        <w:jc w:val="both"/>
        <w:rPr>
          <w:color w:val="000000"/>
        </w:rPr>
      </w:pPr>
      <w:r>
        <w:rPr>
          <w:color w:val="000000"/>
        </w:rPr>
      </w:r>
    </w:p>
    <w:p>
      <w:pPr>
        <w:pStyle w:val="Default"/>
        <w:jc w:val="both"/>
        <w:rPr/>
      </w:pPr>
      <w:r>
        <w:rPr>
          <w:color w:val="000000"/>
          <w:sz w:val="26"/>
          <w:szCs w:val="26"/>
        </w:rPr>
        <w:t>II - concessão de desconto para pagamento de impostos, taxas, contribuições e receitas não tributárias;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III - atualização da Planta de Valores;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IV - ajuste na legislação tributária; </w:t>
      </w:r>
    </w:p>
    <w:p>
      <w:pPr>
        <w:pStyle w:val="Default"/>
        <w:jc w:val="both"/>
        <w:rPr>
          <w:color w:val="000000"/>
        </w:rPr>
      </w:pPr>
      <w:r>
        <w:rPr>
          <w:color w:val="000000"/>
        </w:rPr>
      </w:r>
    </w:p>
    <w:p>
      <w:pPr>
        <w:pStyle w:val="Default"/>
        <w:jc w:val="both"/>
        <w:rPr/>
      </w:pPr>
      <w:r>
        <w:rPr>
          <w:color w:val="000000"/>
          <w:sz w:val="26"/>
          <w:szCs w:val="26"/>
        </w:rPr>
        <w:t xml:space="preserve">V - ajuste nos percentuais de cobrança e base de calculo da contribuição para iluminação pública CIP; </w:t>
      </w:r>
    </w:p>
    <w:p>
      <w:pPr>
        <w:pStyle w:val="Default"/>
        <w:jc w:val="both"/>
        <w:rPr>
          <w:color w:val="000000"/>
        </w:rPr>
      </w:pPr>
      <w:r>
        <w:rPr>
          <w:color w:val="000000"/>
        </w:rPr>
      </w:r>
    </w:p>
    <w:p>
      <w:pPr>
        <w:pStyle w:val="Default"/>
        <w:jc w:val="both"/>
        <w:rPr/>
      </w:pPr>
      <w:r>
        <w:rPr>
          <w:color w:val="000000"/>
          <w:sz w:val="26"/>
          <w:szCs w:val="26"/>
        </w:rPr>
        <w:t xml:space="preserve">VI - ajuste nos itens e percentuais de cobrança e base de calculo da Taxa de Lixo e Lixo Verde; </w:t>
      </w:r>
    </w:p>
    <w:p>
      <w:pPr>
        <w:pStyle w:val="Default"/>
        <w:jc w:val="both"/>
        <w:rPr>
          <w:color w:val="000000"/>
        </w:rPr>
      </w:pPr>
      <w:r>
        <w:rPr>
          <w:color w:val="000000"/>
        </w:rPr>
      </w:r>
    </w:p>
    <w:p>
      <w:pPr>
        <w:pStyle w:val="Default"/>
        <w:jc w:val="both"/>
        <w:rPr/>
      </w:pPr>
      <w:r>
        <w:rPr>
          <w:color w:val="000000"/>
          <w:sz w:val="26"/>
          <w:szCs w:val="26"/>
        </w:rPr>
        <w:t>VII - ajuste e ou definição do valor da terra nua, preço médio das áreas rurais do município;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VIII - concessão de premiações nos programas de educação fiscal, promovidos pelo próprio município ou em que participe através de convênios;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IX - renúncia fiscal de tributos como incentivo ao desenvolvimento da economia local na forma de leis específicas. </w:t>
      </w:r>
    </w:p>
    <w:p>
      <w:pPr>
        <w:pStyle w:val="Default"/>
        <w:jc w:val="both"/>
        <w:rPr>
          <w:color w:val="000000"/>
        </w:rPr>
      </w:pPr>
      <w:r>
        <w:rPr>
          <w:color w:val="000000"/>
        </w:rPr>
      </w:r>
    </w:p>
    <w:p>
      <w:pPr>
        <w:pStyle w:val="Default"/>
        <w:jc w:val="both"/>
        <w:rPr>
          <w:color w:val="000000"/>
        </w:rPr>
      </w:pPr>
      <w:r>
        <w:rPr>
          <w:color w:val="000000"/>
        </w:rPr>
      </w:r>
    </w:p>
    <w:p>
      <w:pPr>
        <w:pStyle w:val="Default"/>
        <w:jc w:val="both"/>
        <w:rPr/>
      </w:pPr>
      <w:r>
        <w:rPr>
          <w:color w:val="000000"/>
          <w:sz w:val="26"/>
          <w:szCs w:val="26"/>
        </w:rPr>
        <w:t>Parágrafo único. O Anexo de Renúncia de Receita de que trata o art. 1º, IV, “g” disporá sobre o total das receitas renunciadas por leis já vigentes e as renúncias previstas para o exercício a que se refere esta Lei.</w:t>
      </w:r>
    </w:p>
    <w:p>
      <w:pPr>
        <w:pStyle w:val="Default"/>
        <w:jc w:val="both"/>
        <w:rPr>
          <w:color w:val="000000"/>
        </w:rPr>
      </w:pPr>
      <w:r>
        <w:rPr>
          <w:color w:val="000000"/>
        </w:rPr>
      </w:r>
    </w:p>
    <w:p>
      <w:pPr>
        <w:pStyle w:val="Default"/>
        <w:jc w:val="center"/>
        <w:rPr>
          <w:b/>
          <w:bCs/>
          <w:color w:val="000000"/>
        </w:rPr>
      </w:pPr>
      <w:r>
        <w:rPr>
          <w:b/>
          <w:bCs/>
          <w:color w:val="000000"/>
          <w:sz w:val="26"/>
          <w:szCs w:val="26"/>
        </w:rPr>
        <w:t xml:space="preserve"> </w:t>
      </w:r>
      <w:r>
        <w:rPr>
          <w:b/>
          <w:bCs/>
          <w:color w:val="000000"/>
          <w:sz w:val="26"/>
          <w:szCs w:val="26"/>
        </w:rPr>
        <w:t xml:space="preserve">CAPÍTULO VI </w:t>
      </w:r>
    </w:p>
    <w:p>
      <w:pPr>
        <w:pStyle w:val="Default"/>
        <w:jc w:val="center"/>
        <w:rPr/>
      </w:pPr>
      <w:r>
        <w:rPr>
          <w:b/>
          <w:bCs/>
          <w:color w:val="000000"/>
          <w:sz w:val="26"/>
          <w:szCs w:val="26"/>
        </w:rPr>
        <w:t>DA LIMITAÇÃO DE EMPENHO</w:t>
      </w:r>
      <w:r>
        <w:rPr>
          <w:color w:val="000000"/>
          <w:sz w:val="26"/>
          <w:szCs w:val="26"/>
        </w:rPr>
        <w:t xml:space="preserve"> </w:t>
      </w:r>
    </w:p>
    <w:p>
      <w:pPr>
        <w:pStyle w:val="Default"/>
        <w:jc w:val="both"/>
        <w:rPr>
          <w:color w:val="000000"/>
        </w:rPr>
      </w:pPr>
      <w:r>
        <w:rPr>
          <w:color w:val="000000"/>
        </w:rPr>
      </w:r>
    </w:p>
    <w:p>
      <w:pPr>
        <w:pStyle w:val="Default"/>
        <w:jc w:val="both"/>
        <w:rPr/>
      </w:pPr>
      <w:r>
        <w:rPr>
          <w:color w:val="000000"/>
          <w:sz w:val="26"/>
          <w:szCs w:val="26"/>
        </w:rPr>
        <w:t>Art. 28. A limitação de empenho e movimentação financeira de que trata o art. 9º da Lei Complementar Federal no 101, de 2000, será efetivada, separadamente, por cada Poder do Município.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 1º Constituem critérios para a limitação de empenho e movimentação financeira, a seguinte ordem de prioridade, em ambos os Poderes: </w:t>
      </w:r>
    </w:p>
    <w:p>
      <w:pPr>
        <w:pStyle w:val="Default"/>
        <w:jc w:val="both"/>
        <w:rPr>
          <w:color w:val="000000"/>
        </w:rPr>
      </w:pPr>
      <w:r>
        <w:rPr>
          <w:color w:val="000000"/>
        </w:rPr>
      </w:r>
    </w:p>
    <w:p>
      <w:pPr>
        <w:pStyle w:val="Default"/>
        <w:jc w:val="both"/>
        <w:rPr/>
      </w:pPr>
      <w:r>
        <w:rPr>
          <w:color w:val="000000"/>
          <w:sz w:val="26"/>
          <w:szCs w:val="26"/>
        </w:rPr>
        <w:t xml:space="preserve">I - diárias; </w:t>
      </w:r>
    </w:p>
    <w:p>
      <w:pPr>
        <w:pStyle w:val="Default"/>
        <w:jc w:val="both"/>
        <w:rPr>
          <w:color w:val="000000"/>
        </w:rPr>
      </w:pPr>
      <w:r>
        <w:rPr>
          <w:color w:val="000000"/>
        </w:rPr>
      </w:r>
    </w:p>
    <w:p>
      <w:pPr>
        <w:pStyle w:val="Default"/>
        <w:jc w:val="both"/>
        <w:rPr/>
      </w:pPr>
      <w:r>
        <w:rPr>
          <w:color w:val="000000"/>
          <w:sz w:val="26"/>
          <w:szCs w:val="26"/>
        </w:rPr>
        <w:t>II - serviço extraordinário;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III - realização de obras; </w:t>
      </w:r>
    </w:p>
    <w:p>
      <w:pPr>
        <w:pStyle w:val="Default"/>
        <w:jc w:val="both"/>
        <w:rPr>
          <w:color w:val="000000"/>
        </w:rPr>
      </w:pPr>
      <w:r>
        <w:rPr>
          <w:color w:val="000000"/>
        </w:rPr>
      </w:r>
    </w:p>
    <w:p>
      <w:pPr>
        <w:pStyle w:val="Default"/>
        <w:jc w:val="both"/>
        <w:rPr/>
      </w:pPr>
      <w:r>
        <w:rPr>
          <w:color w:val="000000"/>
          <w:sz w:val="26"/>
          <w:szCs w:val="26"/>
        </w:rPr>
        <w:t xml:space="preserve">IV - aquisição de equipamentos e material permanente; </w:t>
      </w:r>
    </w:p>
    <w:p>
      <w:pPr>
        <w:pStyle w:val="Default"/>
        <w:jc w:val="both"/>
        <w:rPr>
          <w:color w:val="000000"/>
        </w:rPr>
      </w:pPr>
      <w:r>
        <w:rPr>
          <w:color w:val="000000"/>
        </w:rPr>
      </w:r>
    </w:p>
    <w:p>
      <w:pPr>
        <w:pStyle w:val="Default"/>
        <w:jc w:val="both"/>
        <w:rPr/>
      </w:pPr>
      <w:r>
        <w:rPr>
          <w:color w:val="000000"/>
          <w:sz w:val="26"/>
          <w:szCs w:val="26"/>
        </w:rPr>
        <w:t xml:space="preserve">V – demais despesas discricionárias. </w:t>
      </w:r>
    </w:p>
    <w:p>
      <w:pPr>
        <w:pStyle w:val="Default"/>
        <w:jc w:val="both"/>
        <w:rPr>
          <w:color w:val="000000"/>
        </w:rPr>
      </w:pPr>
      <w:r>
        <w:rPr>
          <w:color w:val="000000"/>
        </w:rPr>
      </w:r>
    </w:p>
    <w:p>
      <w:pPr>
        <w:pStyle w:val="Default"/>
        <w:jc w:val="both"/>
        <w:rPr/>
      </w:pPr>
      <w:r>
        <w:rPr>
          <w:color w:val="000000"/>
          <w:sz w:val="26"/>
          <w:szCs w:val="26"/>
        </w:rPr>
        <w:t xml:space="preserve">§ 2º Em não sendo suficiente ou inviável sob o ponto de vista de administração, a limitação de empenho poderá ocorrer sobre outras despesas, com exceção das despesas relacionas a pessoal, saúde, educação e assistência social. </w:t>
      </w:r>
    </w:p>
    <w:p>
      <w:pPr>
        <w:pStyle w:val="Default"/>
        <w:jc w:val="both"/>
        <w:rPr>
          <w:color w:val="000000"/>
        </w:rPr>
      </w:pPr>
      <w:r>
        <w:rPr>
          <w:color w:val="000000"/>
        </w:rPr>
      </w:r>
    </w:p>
    <w:p>
      <w:pPr>
        <w:pStyle w:val="Default"/>
        <w:jc w:val="center"/>
        <w:rPr>
          <w:b/>
          <w:bCs/>
        </w:rPr>
      </w:pPr>
      <w:r>
        <w:rPr>
          <w:b/>
          <w:bCs/>
          <w:color w:val="000000"/>
          <w:sz w:val="26"/>
          <w:szCs w:val="26"/>
        </w:rPr>
        <w:t xml:space="preserve">CAPÍTULO VII </w:t>
      </w:r>
    </w:p>
    <w:p>
      <w:pPr>
        <w:pStyle w:val="Default"/>
        <w:jc w:val="center"/>
        <w:rPr>
          <w:b/>
          <w:bCs/>
        </w:rPr>
      </w:pPr>
      <w:r>
        <w:rPr>
          <w:b/>
          <w:bCs/>
          <w:color w:val="000000"/>
          <w:sz w:val="26"/>
          <w:szCs w:val="26"/>
        </w:rPr>
        <w:t xml:space="preserve">DAS DISPOSIÇÕES SOBRE AS PROGRAMAÇÕES ORÇAMENTÁRIAS DECORRENTES DE EMENDAS IMPOSITIVAS </w:t>
      </w:r>
    </w:p>
    <w:p>
      <w:pPr>
        <w:pStyle w:val="Default"/>
        <w:jc w:val="both"/>
        <w:rPr>
          <w:color w:val="000000"/>
        </w:rPr>
      </w:pPr>
      <w:r>
        <w:rPr>
          <w:color w:val="000000"/>
        </w:rPr>
      </w:r>
    </w:p>
    <w:p>
      <w:pPr>
        <w:pStyle w:val="Default"/>
        <w:jc w:val="both"/>
        <w:rPr/>
      </w:pPr>
      <w:r>
        <w:rPr>
          <w:color w:val="000000"/>
          <w:sz w:val="26"/>
          <w:szCs w:val="26"/>
        </w:rPr>
        <w:t>Art. 29. As emendas impositivas ao projeto de lei orçamentária anual poderão ser apresentadas nos termos da Lei Orgânica do Município.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1º Aprovadas as emendas de que trata este artigo, somente deixarão de ser executadas até o término do exercício em casos de impedimento de ordem técnica declarada pelo Poder Executivo, nos casos de:</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 - proposta de valor que impeça a conclusão do objeto no exercício; </w:t>
      </w:r>
    </w:p>
    <w:p>
      <w:pPr>
        <w:pStyle w:val="Default"/>
        <w:jc w:val="both"/>
        <w:rPr>
          <w:color w:val="000000"/>
        </w:rPr>
      </w:pPr>
      <w:r>
        <w:rPr>
          <w:color w:val="000000"/>
        </w:rPr>
      </w:r>
    </w:p>
    <w:p>
      <w:pPr>
        <w:pStyle w:val="Default"/>
        <w:jc w:val="both"/>
        <w:rPr/>
      </w:pPr>
      <w:r>
        <w:rPr>
          <w:color w:val="000000"/>
          <w:sz w:val="26"/>
          <w:szCs w:val="26"/>
        </w:rPr>
        <w:t xml:space="preserve">II – a programação não prever valor razoável para sua execução no exercício; </w:t>
      </w:r>
    </w:p>
    <w:p>
      <w:pPr>
        <w:pStyle w:val="Default"/>
        <w:jc w:val="both"/>
        <w:rPr>
          <w:color w:val="000000"/>
        </w:rPr>
      </w:pPr>
      <w:r>
        <w:rPr>
          <w:color w:val="000000"/>
        </w:rPr>
      </w:r>
    </w:p>
    <w:p>
      <w:pPr>
        <w:pStyle w:val="Default"/>
        <w:jc w:val="both"/>
        <w:rPr/>
      </w:pPr>
      <w:r>
        <w:rPr>
          <w:color w:val="000000"/>
          <w:sz w:val="26"/>
          <w:szCs w:val="26"/>
        </w:rPr>
        <w:t xml:space="preserve">III - ausência de pertinência temática entre o objeto proposto e a finalidade institucional da entidade beneficiária, em caso de indicação de recursos à entidade sem fins lucrativos; </w:t>
      </w:r>
    </w:p>
    <w:p>
      <w:pPr>
        <w:pStyle w:val="Default"/>
        <w:jc w:val="both"/>
        <w:rPr>
          <w:color w:val="000000"/>
        </w:rPr>
      </w:pPr>
      <w:r>
        <w:rPr>
          <w:color w:val="000000"/>
        </w:rPr>
      </w:r>
    </w:p>
    <w:p>
      <w:pPr>
        <w:pStyle w:val="Default"/>
        <w:jc w:val="both"/>
        <w:rPr>
          <w:color w:val="000000"/>
        </w:rPr>
      </w:pPr>
      <w:r>
        <w:rPr>
          <w:color w:val="000000"/>
        </w:rPr>
      </w:r>
    </w:p>
    <w:p>
      <w:pPr>
        <w:pStyle w:val="Default"/>
        <w:jc w:val="both"/>
        <w:rPr/>
      </w:pPr>
      <w:r>
        <w:rPr>
          <w:color w:val="000000"/>
          <w:sz w:val="26"/>
          <w:szCs w:val="26"/>
        </w:rPr>
        <w:t xml:space="preserve">IV - não indicação de beneficiário pelo autor da emenda, caso esse seja imprescindível à sua execução; </w:t>
      </w:r>
    </w:p>
    <w:p>
      <w:pPr>
        <w:pStyle w:val="Default"/>
        <w:jc w:val="both"/>
        <w:rPr>
          <w:color w:val="000000"/>
        </w:rPr>
      </w:pPr>
      <w:r>
        <w:rPr>
          <w:color w:val="000000"/>
        </w:rPr>
      </w:r>
    </w:p>
    <w:p>
      <w:pPr>
        <w:pStyle w:val="Default"/>
        <w:jc w:val="both"/>
        <w:rPr/>
      </w:pPr>
      <w:r>
        <w:rPr>
          <w:color w:val="000000"/>
          <w:sz w:val="26"/>
          <w:szCs w:val="26"/>
        </w:rPr>
        <w:t xml:space="preserve">V - não apresentação ou não aprovação de proposta, plano de trabalho ou apresentação fora dos prazos previstos nesta Lei; </w:t>
      </w:r>
    </w:p>
    <w:p>
      <w:pPr>
        <w:pStyle w:val="Default"/>
        <w:jc w:val="both"/>
        <w:rPr>
          <w:color w:val="000000"/>
        </w:rPr>
      </w:pPr>
      <w:r>
        <w:rPr>
          <w:color w:val="000000"/>
        </w:rPr>
      </w:r>
    </w:p>
    <w:p>
      <w:pPr>
        <w:pStyle w:val="Default"/>
        <w:jc w:val="both"/>
        <w:rPr/>
      </w:pPr>
      <w:r>
        <w:rPr>
          <w:color w:val="000000"/>
          <w:sz w:val="26"/>
          <w:szCs w:val="26"/>
        </w:rPr>
        <w:t xml:space="preserve">VI - não realização de complementação ou ajustes solicitados em proposta ou plano de trabalho; </w:t>
      </w:r>
    </w:p>
    <w:p>
      <w:pPr>
        <w:pStyle w:val="Default"/>
        <w:jc w:val="both"/>
        <w:rPr>
          <w:color w:val="000000"/>
        </w:rPr>
      </w:pPr>
      <w:r>
        <w:rPr>
          <w:color w:val="000000"/>
        </w:rPr>
      </w:r>
    </w:p>
    <w:p>
      <w:pPr>
        <w:pStyle w:val="Default"/>
        <w:jc w:val="both"/>
        <w:rPr/>
      </w:pPr>
      <w:r>
        <w:rPr>
          <w:color w:val="000000"/>
          <w:sz w:val="26"/>
          <w:szCs w:val="26"/>
        </w:rPr>
        <w:t xml:space="preserve">VII - desistência da proposta pelo proponente; </w:t>
      </w:r>
    </w:p>
    <w:p>
      <w:pPr>
        <w:pStyle w:val="Default"/>
        <w:jc w:val="both"/>
        <w:rPr>
          <w:color w:val="000000"/>
        </w:rPr>
      </w:pPr>
      <w:r>
        <w:rPr>
          <w:color w:val="000000"/>
        </w:rPr>
      </w:r>
    </w:p>
    <w:p>
      <w:pPr>
        <w:pStyle w:val="Default"/>
        <w:jc w:val="both"/>
        <w:rPr/>
      </w:pPr>
      <w:r>
        <w:rPr>
          <w:color w:val="000000"/>
          <w:sz w:val="26"/>
          <w:szCs w:val="26"/>
        </w:rPr>
        <w:t xml:space="preserve">VIII – em caso de não indicação de 50% em ASPS em caso de emenda individual ou sua indicação para pagamento de pessoal ou encargos sociais; </w:t>
      </w:r>
    </w:p>
    <w:p>
      <w:pPr>
        <w:pStyle w:val="Default"/>
        <w:jc w:val="both"/>
        <w:rPr>
          <w:color w:val="000000"/>
        </w:rPr>
      </w:pPr>
      <w:r>
        <w:rPr>
          <w:color w:val="000000"/>
        </w:rPr>
      </w:r>
    </w:p>
    <w:p>
      <w:pPr>
        <w:pStyle w:val="Default"/>
        <w:jc w:val="both"/>
        <w:rPr/>
      </w:pPr>
      <w:r>
        <w:rPr>
          <w:color w:val="000000"/>
          <w:sz w:val="26"/>
          <w:szCs w:val="26"/>
        </w:rPr>
        <w:t xml:space="preserve">IX - ausência de licença ambiental prévia, nos casos em que for necessária; </w:t>
      </w:r>
    </w:p>
    <w:p>
      <w:pPr>
        <w:pStyle w:val="Default"/>
        <w:jc w:val="both"/>
        <w:rPr>
          <w:color w:val="000000"/>
        </w:rPr>
      </w:pPr>
      <w:r>
        <w:rPr>
          <w:color w:val="000000"/>
        </w:rPr>
      </w:r>
    </w:p>
    <w:p>
      <w:pPr>
        <w:pStyle w:val="Default"/>
        <w:jc w:val="both"/>
        <w:rPr/>
      </w:pPr>
      <w:r>
        <w:rPr>
          <w:color w:val="000000"/>
          <w:sz w:val="26"/>
          <w:szCs w:val="26"/>
        </w:rPr>
        <w:t xml:space="preserve">X – prazos que inviabilizem o empenho no exercício financeiro; </w:t>
      </w:r>
    </w:p>
    <w:p>
      <w:pPr>
        <w:pStyle w:val="Default"/>
        <w:jc w:val="both"/>
        <w:rPr>
          <w:color w:val="000000"/>
        </w:rPr>
      </w:pPr>
      <w:r>
        <w:rPr>
          <w:color w:val="000000"/>
        </w:rPr>
      </w:r>
    </w:p>
    <w:p>
      <w:pPr>
        <w:pStyle w:val="Default"/>
        <w:jc w:val="both"/>
        <w:rPr/>
      </w:pPr>
      <w:r>
        <w:rPr>
          <w:color w:val="000000"/>
          <w:sz w:val="26"/>
          <w:szCs w:val="26"/>
        </w:rPr>
        <w:t>XI - outras razões de ordem prática e técnica que seja identificada apenas no ato da execução.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 2º Não constitui impedimento de ordem técnica a indevida classificação da despesa (órgão, programa, ação) ou erros formais que possam ser sanados por meio de ato próprio do Executivo ou créditos adicionais. </w:t>
      </w:r>
    </w:p>
    <w:p>
      <w:pPr>
        <w:pStyle w:val="Default"/>
        <w:jc w:val="both"/>
        <w:rPr>
          <w:color w:val="000000"/>
        </w:rPr>
      </w:pPr>
      <w:r>
        <w:rPr>
          <w:color w:val="000000"/>
        </w:rPr>
      </w:r>
    </w:p>
    <w:p>
      <w:pPr>
        <w:pStyle w:val="Default"/>
        <w:jc w:val="both"/>
        <w:rPr/>
      </w:pPr>
      <w:r>
        <w:rPr>
          <w:color w:val="000000"/>
          <w:sz w:val="26"/>
          <w:szCs w:val="26"/>
        </w:rPr>
        <w:t>Art. 30. No caso de impedimento de ordem técnica serão adotadas as seguintes medidas:</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I - até cento e vinte dias após a publicação da lei orçamentária, o Poder Executivo, comunicará ao Poder Legislativo as justificativas de impedimento à execução das emendas individuais e/ou de bancadas; </w:t>
      </w:r>
    </w:p>
    <w:p>
      <w:pPr>
        <w:pStyle w:val="Default"/>
        <w:jc w:val="both"/>
        <w:rPr>
          <w:color w:val="000000"/>
        </w:rPr>
      </w:pPr>
      <w:r>
        <w:rPr>
          <w:color w:val="000000"/>
        </w:rPr>
      </w:r>
    </w:p>
    <w:p>
      <w:pPr>
        <w:pStyle w:val="Default"/>
        <w:jc w:val="both"/>
        <w:rPr/>
      </w:pPr>
      <w:r>
        <w:rPr>
          <w:color w:val="000000"/>
          <w:sz w:val="26"/>
          <w:szCs w:val="26"/>
        </w:rPr>
        <w:t xml:space="preserve">II – em até trinta dias após o término do prazo previsto no inciso I, o Poder Legislativo indicará ao Poder Executivo o remanejamento da programação cujo impedimento seja insuperável; </w:t>
      </w:r>
    </w:p>
    <w:p>
      <w:pPr>
        <w:pStyle w:val="Default"/>
        <w:jc w:val="both"/>
        <w:rPr>
          <w:color w:val="000000"/>
        </w:rPr>
      </w:pPr>
      <w:r>
        <w:rPr>
          <w:color w:val="000000"/>
        </w:rPr>
      </w:r>
    </w:p>
    <w:p>
      <w:pPr>
        <w:pStyle w:val="Default"/>
        <w:jc w:val="both"/>
        <w:rPr/>
      </w:pPr>
      <w:r>
        <w:rPr>
          <w:color w:val="000000"/>
          <w:sz w:val="26"/>
          <w:szCs w:val="26"/>
        </w:rPr>
        <w:t xml:space="preserve">III – em até trinta dias após o término do prazo previsto no inciso II o Poder Executivo consolidará as indicações e, se necessário, iniciará processo legislativo dos créditos adicionais para o atendimento; </w:t>
      </w:r>
    </w:p>
    <w:p>
      <w:pPr>
        <w:pStyle w:val="Default"/>
        <w:jc w:val="both"/>
        <w:rPr>
          <w:color w:val="000000"/>
        </w:rPr>
      </w:pPr>
      <w:r>
        <w:rPr>
          <w:color w:val="000000"/>
        </w:rPr>
      </w:r>
    </w:p>
    <w:p>
      <w:pPr>
        <w:pStyle w:val="Default"/>
        <w:jc w:val="both"/>
        <w:rPr/>
      </w:pPr>
      <w:r>
        <w:rPr>
          <w:color w:val="000000"/>
          <w:sz w:val="26"/>
          <w:szCs w:val="26"/>
        </w:rPr>
        <w:t>Parágrafo único. Após o término do prazo previsto no inciso II do caput, as emendas com impedimento técnico não remanejadas pelo Poder Legislativo, não serão de execução obrigatória podendo servir de fonte para abertura de créditos adicionais no exercício.</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31. Em caso de emendas que tenham como beneficiárias entidades da organização civil, o Poder Executivo as notificará para que apresentem o plano de trabalho ou complementação de documento de no mínimo até trinta dias. </w:t>
      </w:r>
    </w:p>
    <w:p>
      <w:pPr>
        <w:pStyle w:val="Default"/>
        <w:jc w:val="both"/>
        <w:rPr>
          <w:color w:val="000000"/>
        </w:rPr>
      </w:pPr>
      <w:r>
        <w:rPr>
          <w:color w:val="000000"/>
        </w:rPr>
      </w:r>
    </w:p>
    <w:p>
      <w:pPr>
        <w:pStyle w:val="Default"/>
        <w:jc w:val="center"/>
        <w:rPr>
          <w:b/>
          <w:bCs/>
        </w:rPr>
      </w:pPr>
      <w:r>
        <w:rPr>
          <w:b/>
          <w:bCs/>
          <w:color w:val="000000"/>
          <w:sz w:val="26"/>
          <w:szCs w:val="26"/>
        </w:rPr>
        <w:t xml:space="preserve">CAPÍTULO VIII </w:t>
      </w:r>
    </w:p>
    <w:p>
      <w:pPr>
        <w:pStyle w:val="Default"/>
        <w:jc w:val="center"/>
        <w:rPr>
          <w:b/>
          <w:bCs/>
        </w:rPr>
      </w:pPr>
      <w:r>
        <w:rPr>
          <w:b/>
          <w:bCs/>
          <w:color w:val="000000"/>
          <w:sz w:val="26"/>
          <w:szCs w:val="26"/>
        </w:rPr>
        <w:t xml:space="preserve">DAS DISPOSIÇÕES FINAIS </w:t>
      </w:r>
    </w:p>
    <w:p>
      <w:pPr>
        <w:pStyle w:val="Default"/>
        <w:jc w:val="both"/>
        <w:rPr>
          <w:color w:val="000000"/>
        </w:rPr>
      </w:pPr>
      <w:r>
        <w:rPr>
          <w:color w:val="000000"/>
        </w:rPr>
      </w:r>
    </w:p>
    <w:p>
      <w:pPr>
        <w:pStyle w:val="Default"/>
        <w:jc w:val="both"/>
        <w:rPr/>
      </w:pPr>
      <w:r>
        <w:rPr>
          <w:color w:val="000000"/>
          <w:sz w:val="26"/>
          <w:szCs w:val="26"/>
        </w:rPr>
        <w:t>Art. 32. Se o projeto de lei orçamentária não for publicado até 31 de dezembro de 2025, até que este ocorra, a programação dele constante poderá ser executada.</w:t>
      </w:r>
    </w:p>
    <w:p>
      <w:pPr>
        <w:pStyle w:val="Default"/>
        <w:jc w:val="both"/>
        <w:rPr>
          <w:color w:val="000000"/>
        </w:rPr>
      </w:pPr>
      <w:r>
        <w:rPr>
          <w:color w:val="000000"/>
        </w:rPr>
      </w:r>
    </w:p>
    <w:p>
      <w:pPr>
        <w:pStyle w:val="Default"/>
        <w:jc w:val="both"/>
        <w:rPr/>
      </w:pPr>
      <w:r>
        <w:rPr>
          <w:color w:val="000000"/>
          <w:sz w:val="26"/>
          <w:szCs w:val="26"/>
        </w:rPr>
        <w:t xml:space="preserve"> </w:t>
      </w:r>
      <w:r>
        <w:rPr>
          <w:color w:val="000000"/>
          <w:sz w:val="26"/>
          <w:szCs w:val="26"/>
        </w:rPr>
        <w:t xml:space="preserve">Art. 33. Esta Lei entra em vigor na data de sua publicação.  </w:t>
      </w:r>
    </w:p>
    <w:p>
      <w:pPr>
        <w:pStyle w:val="Default"/>
        <w:jc w:val="both"/>
        <w:rPr>
          <w:color w:val="000000"/>
        </w:rPr>
      </w:pPr>
      <w:r>
        <w:rPr>
          <w:color w:val="000000"/>
        </w:rPr>
      </w:r>
    </w:p>
    <w:p>
      <w:pPr>
        <w:pStyle w:val="Default"/>
        <w:jc w:val="both"/>
        <w:rPr>
          <w:color w:val="000000"/>
        </w:rPr>
      </w:pPr>
      <w:r>
        <w:rPr>
          <w:color w:val="000000"/>
        </w:rPr>
      </w:r>
    </w:p>
    <w:p>
      <w:pPr>
        <w:pStyle w:val="Corpodotexto"/>
        <w:spacing w:before="247" w:after="0"/>
        <w:ind w:left="2802" w:right="0" w:hanging="0"/>
        <w:jc w:val="both"/>
        <w:rPr/>
      </w:pPr>
      <w:r>
        <w:rPr>
          <w:sz w:val="26"/>
          <w:szCs w:val="26"/>
        </w:rPr>
        <w:t>Gramado,</w:t>
      </w:r>
      <w:r>
        <w:rPr>
          <w:spacing w:val="-1"/>
          <w:sz w:val="26"/>
          <w:szCs w:val="26"/>
        </w:rPr>
        <w:t xml:space="preserve"> 14 </w:t>
      </w:r>
      <w:r>
        <w:rPr>
          <w:sz w:val="26"/>
          <w:szCs w:val="26"/>
        </w:rPr>
        <w:t>de Outubro</w:t>
      </w:r>
      <w:r>
        <w:rPr>
          <w:spacing w:val="-1"/>
          <w:sz w:val="26"/>
          <w:szCs w:val="26"/>
        </w:rPr>
        <w:t xml:space="preserve"> </w:t>
      </w:r>
      <w:r>
        <w:rPr>
          <w:sz w:val="26"/>
          <w:szCs w:val="26"/>
        </w:rPr>
        <w:t xml:space="preserve">de </w:t>
      </w:r>
      <w:r>
        <w:rPr>
          <w:spacing w:val="-2"/>
          <w:sz w:val="26"/>
          <w:szCs w:val="26"/>
        </w:rPr>
        <w:t>2025.</w:t>
      </w:r>
    </w:p>
    <w:p>
      <w:pPr>
        <w:pStyle w:val="Corpodotexto"/>
        <w:spacing w:before="0" w:after="120"/>
        <w:jc w:val="both"/>
        <w:rPr>
          <w:rFonts w:ascii="Calibri" w:hAnsi="Calibri"/>
          <w:sz w:val="26"/>
          <w:szCs w:val="26"/>
        </w:rPr>
      </w:pPr>
      <w:r>
        <w:rPr>
          <w:sz w:val="26"/>
          <w:szCs w:val="26"/>
        </w:rPr>
      </w:r>
    </w:p>
    <w:p>
      <w:pPr>
        <w:sectPr>
          <w:headerReference w:type="even" r:id="rId2"/>
          <w:headerReference w:type="default" r:id="rId3"/>
          <w:headerReference w:type="first" r:id="rId4"/>
          <w:type w:val="nextPage"/>
          <w:pgSz w:w="11906" w:h="16838"/>
          <w:pgMar w:left="1575" w:right="850" w:gutter="0" w:header="720" w:top="2835" w:footer="0" w:bottom="1247"/>
          <w:pgNumType w:fmt="decimal"/>
          <w:formProt w:val="false"/>
          <w:textDirection w:val="lrTb"/>
          <w:docGrid w:type="default" w:linePitch="100" w:charSpace="8192"/>
        </w:sectPr>
      </w:pPr>
    </w:p>
    <w:p>
      <w:pPr>
        <w:pStyle w:val="LO-Normal1"/>
        <w:widowControl/>
        <w:suppressAutoHyphens w:val="true"/>
        <w:bidi w:val="0"/>
        <w:spacing w:lineRule="auto" w:line="360" w:before="0" w:after="218"/>
        <w:ind w:left="0" w:right="283" w:firstLine="850"/>
        <w:jc w:val="both"/>
        <w:rPr>
          <w:rFonts w:ascii="Calibri" w:hAnsi="Calibri"/>
          <w:sz w:val="26"/>
          <w:szCs w:val="26"/>
        </w:rPr>
      </w:pPr>
      <w:r>
        <w:rPr>
          <w:sz w:val="26"/>
          <w:szCs w:val="26"/>
        </w:rPr>
      </w:r>
    </w:p>
    <w:p>
      <w:pPr>
        <w:pStyle w:val="Normal"/>
        <w:spacing w:before="120" w:after="120"/>
        <w:jc w:val="center"/>
        <w:rPr/>
      </w:pPr>
      <w:r>
        <w:rPr>
          <w:rFonts w:cs="Calibri" w:cstheme="minorHAnsi"/>
          <w:b/>
          <w:color w:val="000000"/>
          <w:sz w:val="26"/>
          <w:szCs w:val="26"/>
        </w:rPr>
        <w:t>Nestor Tissot</w:t>
      </w:r>
    </w:p>
    <w:p>
      <w:pPr>
        <w:sectPr>
          <w:type w:val="continuous"/>
          <w:pgSz w:w="11906" w:h="16838"/>
          <w:pgMar w:left="1575" w:right="850" w:gutter="0" w:header="720" w:top="2835" w:footer="0" w:bottom="1247"/>
          <w:formProt w:val="false"/>
          <w:textDirection w:val="lrTb"/>
          <w:docGrid w:type="default" w:linePitch="100" w:charSpace="8192"/>
        </w:sectPr>
      </w:pPr>
    </w:p>
    <w:p>
      <w:pPr>
        <w:pStyle w:val="Normal"/>
        <w:spacing w:before="120" w:after="0"/>
        <w:jc w:val="center"/>
        <w:rPr/>
      </w:pPr>
      <w:r>
        <w:rPr>
          <w:rStyle w:val="Fontepargpadro"/>
          <w:rFonts w:cs="Calibri" w:cstheme="minorHAnsi"/>
          <w:b/>
          <w:color w:val="000000"/>
          <w:sz w:val="26"/>
          <w:szCs w:val="26"/>
        </w:rPr>
        <w:t>Prefeito de Gramado</w:t>
      </w:r>
    </w:p>
    <w:sectPr>
      <w:type w:val="continuous"/>
      <w:pgSz w:w="11906" w:h="16838"/>
      <w:pgMar w:left="1575" w:right="850" w:gutter="0" w:header="720" w:top="2835" w:footer="0" w:bottom="1247"/>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Tahoma">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Arial">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spacing w:before="120" w:after="12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1"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before="120" w:after="0"/>
      <w:jc w:val="center"/>
      <w:rPr/>
    </w:pPr>
    <w:r>
      <w:rPr/>
      <w:drawing>
        <wp:inline distT="0" distB="0" distL="0" distR="0">
          <wp:extent cx="3238500" cy="1098550"/>
          <wp:effectExtent l="0" t="0" r="0" b="0"/>
          <wp:docPr id="2" name="Imagem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1" descr=""/>
                  <pic:cNvPicPr>
                    <a:picLocks noChangeAspect="1" noChangeArrowheads="1"/>
                  </pic:cNvPicPr>
                </pic:nvPicPr>
                <pic:blipFill>
                  <a:blip r:embed="rId1"/>
                  <a:stretch>
                    <a:fillRect/>
                  </a:stretch>
                </pic:blipFill>
                <pic:spPr bwMode="auto">
                  <a:xfrm>
                    <a:off x="0" y="0"/>
                    <a:ext cx="3238500" cy="1098550"/>
                  </a:xfrm>
                  <a:prstGeom prst="rect">
                    <a:avLst/>
                  </a:prstGeom>
                </pic:spPr>
              </pic:pic>
            </a:graphicData>
          </a:graphic>
        </wp:inline>
      </w:drawing>
    </w:r>
  </w:p>
  <w:p>
    <w:pPr>
      <w:pStyle w:val="Normal"/>
      <w:spacing w:before="120" w:after="0"/>
      <w:jc w:val="center"/>
      <w:rPr>
        <w:rFonts w:ascii="Arial" w:hAnsi="Arial"/>
        <w:color w:val="000000"/>
        <w:sz w:val="24"/>
      </w:rPr>
    </w:pPr>
    <w:r>
      <w:rPr>
        <w:rFonts w:ascii="Arial" w:hAnsi="Arial"/>
        <w:color w:val="000000"/>
        <w:sz w:val="24"/>
      </w:rPr>
    </w:r>
  </w:p>
</w:hdr>
</file>

<file path=word/settings.xml><?xml version="1.0" encoding="utf-8"?>
<w:settings xmlns:w="http://schemas.openxmlformats.org/wordprocessingml/2006/main">
  <w:zoom w:percent="100"/>
  <w:defaultTabStop w:val="708"/>
  <w:autoHyphenation w:val="true"/>
  <w:hyphenationZone w:val="425"/>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Title" w:uiPriority="10" w:semiHidden="0" w:unhideWhenUsed="0" w:qFormat="1"/>
    <w:lsdException w:name="Default Paragraph Font" w:uiPriority="1"/>
    <w:lsdException w:name="Subtitle" w:uiPriority="11" w:semiHidden="0" w:unhideWhenUsed="0" w:qFormat="1"/>
    <w:lsdException w:name="Emphasis" w:uiPriority="20" w:semiHidden="0" w:unhideWhenUsed="0" w:qFormat="1"/>
    <w:lsdException w:name="Table Grid" w:uiPriority="59" w:semiHidden="0" w:unhideWhenUsed="0"/>
  </w:latentStyles>
  <w:style w:type="paragraph" w:styleId="Normal" w:default="1">
    <w:name w:val="Normal"/>
    <w:qFormat/>
    <w:rsid w:val="004a3277"/>
    <w:pPr>
      <w:widowControl/>
      <w:suppressAutoHyphens w:val="true"/>
      <w:bidi w:val="0"/>
      <w:spacing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Ttulo1">
    <w:name w:val="Heading 1"/>
    <w:basedOn w:val="Normal"/>
    <w:next w:val="Normal"/>
    <w:link w:val="Ttulo1Char"/>
    <w:uiPriority w:val="9"/>
    <w:qFormat/>
    <w:rsid w:val="00841cd9"/>
    <w:pPr>
      <w:keepNext w:val="true"/>
      <w:keepLines/>
      <w:spacing w:before="480" w:after="120"/>
      <w:outlineLvl w:val="0"/>
    </w:pPr>
    <w:rPr>
      <w:rFonts w:ascii="Cambria" w:hAnsi="Cambria" w:eastAsia="" w:cs="" w:asciiTheme="majorHAnsi" w:cstheme="majorBidi" w:eastAsiaTheme="majorEastAsia" w:hAnsiTheme="majorHAnsi"/>
      <w:b/>
      <w:bCs/>
      <w:color w:val="365F91" w:themeColor="accent1" w:themeShade="bf"/>
      <w:sz w:val="28"/>
      <w:szCs w:val="28"/>
    </w:rPr>
  </w:style>
  <w:style w:type="paragraph" w:styleId="Ttulo2">
    <w:name w:val="Heading 2"/>
    <w:basedOn w:val="Normal"/>
    <w:next w:val="Normal"/>
    <w:link w:val="Ttulo2Char"/>
    <w:uiPriority w:val="9"/>
    <w:unhideWhenUsed/>
    <w:qFormat/>
    <w:rsid w:val="00841cd9"/>
    <w:pPr>
      <w:keepNext w:val="true"/>
      <w:keepLines/>
      <w:spacing w:before="200" w:after="120"/>
      <w:outlineLvl w:val="1"/>
    </w:pPr>
    <w:rPr>
      <w:rFonts w:ascii="Cambria" w:hAnsi="Cambria" w:eastAsia="" w:cs="" w:asciiTheme="majorHAnsi" w:cstheme="majorBidi" w:eastAsiaTheme="majorEastAsia" w:hAnsiTheme="majorHAnsi"/>
      <w:b/>
      <w:bCs/>
      <w:color w:val="4F81BD" w:themeColor="accent1"/>
      <w:sz w:val="26"/>
      <w:szCs w:val="26"/>
    </w:rPr>
  </w:style>
  <w:style w:type="paragraph" w:styleId="Ttulo3">
    <w:name w:val="Heading 3"/>
    <w:basedOn w:val="Normal"/>
    <w:next w:val="Normal"/>
    <w:link w:val="Ttulo3Char"/>
    <w:uiPriority w:val="9"/>
    <w:unhideWhenUsed/>
    <w:qFormat/>
    <w:rsid w:val="00841cd9"/>
    <w:pPr>
      <w:keepNext w:val="true"/>
      <w:keepLines/>
      <w:spacing w:before="200" w:after="120"/>
      <w:outlineLvl w:val="2"/>
    </w:pPr>
    <w:rPr>
      <w:rFonts w:ascii="Cambria" w:hAnsi="Cambria" w:eastAsia="" w:cs="" w:asciiTheme="majorHAnsi" w:cstheme="majorBidi" w:eastAsiaTheme="majorEastAsia" w:hAnsiTheme="majorHAnsi"/>
      <w:b/>
      <w:bCs/>
      <w:color w:val="4F81BD" w:themeColor="accent1"/>
    </w:rPr>
  </w:style>
  <w:style w:type="paragraph" w:styleId="Ttulo4">
    <w:name w:val="Heading 4"/>
    <w:basedOn w:val="Normal"/>
    <w:next w:val="Normal"/>
    <w:link w:val="Ttulo4Char"/>
    <w:uiPriority w:val="9"/>
    <w:unhideWhenUsed/>
    <w:qFormat/>
    <w:rsid w:val="00841cd9"/>
    <w:pPr>
      <w:keepNext w:val="true"/>
      <w:keepLines/>
      <w:spacing w:before="200" w:after="120"/>
      <w:outlineLvl w:val="3"/>
    </w:pPr>
    <w:rPr>
      <w:rFonts w:ascii="Cambria" w:hAnsi="Cambria" w:eastAsia="" w:cs="" w:asciiTheme="majorHAnsi" w:cstheme="majorBidi" w:eastAsiaTheme="majorEastAsia" w:hAnsiTheme="majorHAnsi"/>
      <w:b/>
      <w:bCs/>
      <w:i/>
      <w:iCs/>
      <w:color w:val="4F81BD" w:themeColor="accent1"/>
    </w:rPr>
  </w:style>
  <w:style w:type="character" w:styleId="DefaultParagraphFont" w:default="1">
    <w:name w:val="Default Paragraph Font"/>
    <w:uiPriority w:val="1"/>
    <w:semiHidden/>
    <w:unhideWhenUsed/>
    <w:qFormat/>
    <w:rPr/>
  </w:style>
  <w:style w:type="character" w:styleId="CabealhoChar" w:customStyle="1">
    <w:name w:val="Cabeçalho Char"/>
    <w:basedOn w:val="DefaultParagraphFont"/>
    <w:uiPriority w:val="99"/>
    <w:qFormat/>
    <w:rsid w:val="00841cd9"/>
    <w:rPr/>
  </w:style>
  <w:style w:type="character" w:styleId="Ttulo1Char" w:customStyle="1">
    <w:name w:val="Título 1 Char"/>
    <w:basedOn w:val="DefaultParagraphFont"/>
    <w:uiPriority w:val="9"/>
    <w:qFormat/>
    <w:rsid w:val="00841cd9"/>
    <w:rPr>
      <w:rFonts w:ascii="Cambria" w:hAnsi="Cambria" w:eastAsia="" w:cs="" w:asciiTheme="majorHAnsi" w:cstheme="majorBidi" w:eastAsiaTheme="majorEastAsia" w:hAnsiTheme="majorHAnsi"/>
      <w:b/>
      <w:bCs/>
      <w:color w:val="365F91" w:themeColor="accent1" w:themeShade="bf"/>
      <w:sz w:val="28"/>
      <w:szCs w:val="28"/>
    </w:rPr>
  </w:style>
  <w:style w:type="character" w:styleId="Ttulo2Char" w:customStyle="1">
    <w:name w:val="Título 2 Char"/>
    <w:basedOn w:val="DefaultParagraphFont"/>
    <w:uiPriority w:val="9"/>
    <w:qFormat/>
    <w:rsid w:val="00841cd9"/>
    <w:rPr>
      <w:rFonts w:ascii="Cambria" w:hAnsi="Cambria" w:eastAsia="" w:cs="" w:asciiTheme="majorHAnsi" w:cstheme="majorBidi" w:eastAsiaTheme="majorEastAsia" w:hAnsiTheme="majorHAnsi"/>
      <w:b/>
      <w:bCs/>
      <w:color w:val="4F81BD" w:themeColor="accent1"/>
      <w:sz w:val="26"/>
      <w:szCs w:val="26"/>
    </w:rPr>
  </w:style>
  <w:style w:type="character" w:styleId="Ttulo3Char" w:customStyle="1">
    <w:name w:val="Título 3 Char"/>
    <w:basedOn w:val="DefaultParagraphFont"/>
    <w:uiPriority w:val="9"/>
    <w:qFormat/>
    <w:rsid w:val="00841cd9"/>
    <w:rPr>
      <w:rFonts w:ascii="Cambria" w:hAnsi="Cambria" w:eastAsia="" w:cs="" w:asciiTheme="majorHAnsi" w:cstheme="majorBidi" w:eastAsiaTheme="majorEastAsia" w:hAnsiTheme="majorHAnsi"/>
      <w:b/>
      <w:bCs/>
      <w:color w:val="4F81BD" w:themeColor="accent1"/>
    </w:rPr>
  </w:style>
  <w:style w:type="character" w:styleId="Ttulo4Char" w:customStyle="1">
    <w:name w:val="Título 4 Char"/>
    <w:basedOn w:val="DefaultParagraphFont"/>
    <w:uiPriority w:val="9"/>
    <w:qFormat/>
    <w:rsid w:val="00841cd9"/>
    <w:rPr>
      <w:rFonts w:ascii="Cambria" w:hAnsi="Cambria" w:eastAsia="" w:cs="" w:asciiTheme="majorHAnsi" w:cstheme="majorBidi" w:eastAsiaTheme="majorEastAsia" w:hAnsiTheme="majorHAnsi"/>
      <w:b/>
      <w:bCs/>
      <w:i/>
      <w:iCs/>
      <w:color w:val="4F81BD" w:themeColor="accent1"/>
    </w:rPr>
  </w:style>
  <w:style w:type="character" w:styleId="SubttuloChar" w:customStyle="1">
    <w:name w:val="Subtítulo Char"/>
    <w:basedOn w:val="DefaultParagraphFont"/>
    <w:uiPriority w:val="11"/>
    <w:qFormat/>
    <w:rsid w:val="00841cd9"/>
    <w:rPr>
      <w:rFonts w:ascii="Cambria" w:hAnsi="Cambria" w:eastAsia="" w:cs="" w:asciiTheme="majorHAnsi" w:cstheme="majorBidi" w:eastAsiaTheme="majorEastAsia" w:hAnsiTheme="majorHAnsi"/>
      <w:i/>
      <w:iCs/>
      <w:color w:val="4F81BD" w:themeColor="accent1"/>
      <w:spacing w:val="15"/>
      <w:sz w:val="24"/>
      <w:szCs w:val="24"/>
    </w:rPr>
  </w:style>
  <w:style w:type="character" w:styleId="TtuloChar" w:customStyle="1">
    <w:name w:val="Título Char"/>
    <w:basedOn w:val="DefaultParagraphFont"/>
    <w:uiPriority w:val="10"/>
    <w:qFormat/>
    <w:rsid w:val="00841cd9"/>
    <w:rPr>
      <w:rFonts w:ascii="Cambria" w:hAnsi="Cambria" w:eastAsia="" w:cs="" w:asciiTheme="majorHAnsi" w:cstheme="majorBidi" w:eastAsiaTheme="majorEastAsia" w:hAnsiTheme="majorHAnsi"/>
      <w:color w:val="17365D" w:themeColor="text2" w:themeShade="bf"/>
      <w:spacing w:val="5"/>
      <w:kern w:val="2"/>
      <w:sz w:val="52"/>
      <w:szCs w:val="52"/>
    </w:rPr>
  </w:style>
  <w:style w:type="character" w:styleId="Nfase">
    <w:name w:val="Emphasis"/>
    <w:basedOn w:val="DefaultParagraphFont"/>
    <w:uiPriority w:val="20"/>
    <w:qFormat/>
    <w:rsid w:val="00d1197d"/>
    <w:rPr>
      <w:i/>
      <w:iCs/>
    </w:rPr>
  </w:style>
  <w:style w:type="character" w:styleId="LinkdaInternet" w:customStyle="1">
    <w:name w:val="Hyperlink"/>
    <w:basedOn w:val="DefaultParagraphFont"/>
    <w:uiPriority w:val="99"/>
    <w:unhideWhenUsed/>
    <w:rPr>
      <w:color w:val="0000FF" w:themeColor="hyperlink"/>
      <w:u w:val="single"/>
    </w:rPr>
  </w:style>
  <w:style w:type="character" w:styleId="TextodebaloChar" w:customStyle="1">
    <w:name w:val="Texto de balão Char"/>
    <w:basedOn w:val="DefaultParagraphFont"/>
    <w:link w:val="BalloonText"/>
    <w:uiPriority w:val="99"/>
    <w:semiHidden/>
    <w:qFormat/>
    <w:rsid w:val="004b2739"/>
    <w:rPr>
      <w:rFonts w:ascii="Tahoma" w:hAnsi="Tahoma" w:cs="Tahoma"/>
      <w:sz w:val="16"/>
      <w:szCs w:val="16"/>
      <w:lang w:val="pt-BR" w:eastAsia="pt-BR" w:bidi="pt-BR"/>
    </w:rPr>
  </w:style>
  <w:style w:type="character" w:styleId="RodapChar" w:customStyle="1">
    <w:name w:val="Rodapé Char"/>
    <w:basedOn w:val="DefaultParagraphFont"/>
    <w:uiPriority w:val="99"/>
    <w:qFormat/>
    <w:rsid w:val="00d85f4c"/>
    <w:rPr>
      <w:lang w:val="pt-BR" w:eastAsia="pt-BR" w:bidi="pt-BR"/>
    </w:rPr>
  </w:style>
  <w:style w:type="character" w:styleId="Fontepargpadro">
    <w:name w:val="Fonte parág. padrão"/>
    <w:qFormat/>
    <w:rPr/>
  </w:style>
  <w:style w:type="character" w:styleId="Strong">
    <w:name w:val="Strong"/>
    <w:qFormat/>
    <w:rPr>
      <w:b/>
      <w:bCs/>
    </w:rPr>
  </w:style>
  <w:style w:type="character" w:styleId="WWCharLFO3LVL1">
    <w:name w:val="WW_CharLFO3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2">
    <w:name w:val="WW_CharLFO3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3">
    <w:name w:val="WW_CharLFO3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4">
    <w:name w:val="WW_CharLFO3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5">
    <w:name w:val="WW_CharLFO3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6">
    <w:name w:val="WW_CharLFO3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7">
    <w:name w:val="WW_CharLFO3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8">
    <w:name w:val="WW_CharLFO3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3LVL9">
    <w:name w:val="WW_CharLFO3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1">
    <w:name w:val="WW_CharLFO4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2">
    <w:name w:val="WW_CharLFO4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3">
    <w:name w:val="WW_CharLFO4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4">
    <w:name w:val="WW_CharLFO4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5">
    <w:name w:val="WW_CharLFO4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6">
    <w:name w:val="WW_CharLFO4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7">
    <w:name w:val="WW_CharLFO4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8">
    <w:name w:val="WW_CharLFO4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4LVL9">
    <w:name w:val="WW_CharLFO4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1">
    <w:name w:val="WW_CharLFO5LVL1"/>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2">
    <w:name w:val="WW_CharLFO5LVL2"/>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3">
    <w:name w:val="WW_CharLFO5LVL3"/>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4">
    <w:name w:val="WW_CharLFO5LVL4"/>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5">
    <w:name w:val="WW_CharLFO5LVL5"/>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6">
    <w:name w:val="WW_CharLFO5LVL6"/>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7">
    <w:name w:val="WW_CharLFO5LVL7"/>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8">
    <w:name w:val="WW_CharLFO5LVL8"/>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WWCharLFO5LVL9">
    <w:name w:val="WW_CharLFO5LVL9"/>
    <w:qFormat/>
    <w:rPr>
      <w:rFonts w:ascii="Calibri" w:hAnsi="Calibri" w:eastAsia="Calibri" w:cs="Calibri"/>
      <w:b w:val="false"/>
      <w:i w:val="false"/>
      <w:strike w:val="false"/>
      <w:dstrike w:val="false"/>
      <w:color w:val="000000"/>
      <w:position w:val="0"/>
      <w:sz w:val="24"/>
      <w:sz w:val="24"/>
      <w:szCs w:val="24"/>
      <w:u w:val="none" w:color="000000"/>
      <w:shd w:fill="auto" w:val="clear"/>
      <w:vertAlign w:val="baseline"/>
    </w:rPr>
  </w:style>
  <w:style w:type="character" w:styleId="Smbolosdenumerao">
    <w:name w:val="Símbolos de numeração"/>
    <w:qFormat/>
    <w:rPr/>
  </w:style>
  <w:style w:type="character" w:styleId="Marcadores">
    <w:name w:val="Marcadores"/>
    <w:qFormat/>
    <w:rPr>
      <w:rFonts w:ascii="OpenSymbol" w:hAnsi="OpenSymbol" w:eastAsia="OpenSymbol" w:cs="OpenSymbol"/>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Ttulododocumento">
    <w:name w:val="Title"/>
    <w:basedOn w:val="Normal"/>
    <w:next w:val="Corpodotexto"/>
    <w:link w:val="TtuloChar"/>
    <w:uiPriority w:val="10"/>
    <w:qFormat/>
    <w:rsid w:val="00841cd9"/>
    <w:pPr>
      <w:pBdr>
        <w:bottom w:val="single" w:sz="8" w:space="4" w:color="4F81BD"/>
      </w:pBdr>
      <w:spacing w:before="120" w:after="300"/>
      <w:contextualSpacing/>
    </w:pPr>
    <w:rPr>
      <w:rFonts w:ascii="Cambria" w:hAnsi="Cambria" w:eastAsia="" w:cs="" w:asciiTheme="majorHAnsi" w:cstheme="majorBidi" w:eastAsiaTheme="majorEastAsia" w:hAnsiTheme="majorHAnsi"/>
      <w:color w:val="17365D" w:themeColor="text2" w:themeShade="bf"/>
      <w:spacing w:val="5"/>
      <w:kern w:val="2"/>
      <w:sz w:val="52"/>
      <w:szCs w:val="52"/>
    </w:rPr>
  </w:style>
  <w:style w:type="paragraph" w:styleId="Caption1">
    <w:name w:val="caption1"/>
    <w:basedOn w:val="Normal"/>
    <w:next w:val="Normal"/>
    <w:uiPriority w:val="35"/>
    <w:semiHidden/>
    <w:unhideWhenUsed/>
    <w:qFormat/>
    <w:rsid w:val="007109c0"/>
    <w:pPr/>
    <w:rPr>
      <w:b/>
      <w:bCs/>
      <w:color w:val="4F81BD" w:themeColor="accent1"/>
      <w:sz w:val="18"/>
      <w:szCs w:val="18"/>
    </w:rPr>
  </w:style>
  <w:style w:type="paragraph" w:styleId="CabealhoeRodap" w:customStyle="1">
    <w:name w:val="Cabeçalho e Rodapé"/>
    <w:basedOn w:val="Normal"/>
    <w:qFormat/>
    <w:pPr/>
    <w:rPr/>
  </w:style>
  <w:style w:type="paragraph" w:styleId="Cabealhoerodap1">
    <w:name w:val="Cabeçalho e rodapé1"/>
    <w:basedOn w:val="Normal"/>
    <w:qFormat/>
    <w:pPr/>
    <w:rPr/>
  </w:style>
  <w:style w:type="paragraph" w:styleId="Cabealho">
    <w:name w:val="Header"/>
    <w:basedOn w:val="Normal"/>
    <w:link w:val="CabealhoChar"/>
    <w:uiPriority w:val="99"/>
    <w:unhideWhenUsed/>
    <w:rsid w:val="00841cd9"/>
    <w:pPr>
      <w:tabs>
        <w:tab w:val="clear" w:pos="708"/>
        <w:tab w:val="center" w:pos="4680" w:leader="none"/>
        <w:tab w:val="right" w:pos="9360" w:leader="none"/>
      </w:tabs>
    </w:pPr>
    <w:rPr/>
  </w:style>
  <w:style w:type="paragraph" w:styleId="NormalIndent">
    <w:name w:val="Normal Indent"/>
    <w:basedOn w:val="Normal"/>
    <w:uiPriority w:val="99"/>
    <w:unhideWhenUsed/>
    <w:qFormat/>
    <w:rsid w:val="00841cd9"/>
    <w:pPr>
      <w:ind w:left="720" w:hanging="0"/>
    </w:pPr>
    <w:rPr/>
  </w:style>
  <w:style w:type="paragraph" w:styleId="Subttulo">
    <w:name w:val="Subtitle"/>
    <w:basedOn w:val="Normal"/>
    <w:next w:val="Normal"/>
    <w:link w:val="SubttuloChar"/>
    <w:uiPriority w:val="11"/>
    <w:qFormat/>
    <w:rsid w:val="00841cd9"/>
    <w:pPr>
      <w:ind w:left="86" w:hanging="0"/>
    </w:pPr>
    <w:rPr>
      <w:rFonts w:ascii="Cambria" w:hAnsi="Cambria" w:eastAsia="" w:cs="" w:asciiTheme="majorHAnsi" w:cstheme="majorBidi" w:eastAsiaTheme="majorEastAsia" w:hAnsiTheme="majorHAnsi"/>
      <w:i/>
      <w:iCs/>
      <w:color w:val="4F81BD" w:themeColor="accent1"/>
      <w:spacing w:val="15"/>
      <w:sz w:val="24"/>
      <w:szCs w:val="24"/>
    </w:rPr>
  </w:style>
  <w:style w:type="paragraph" w:styleId="BalloonText">
    <w:name w:val="Balloon Text"/>
    <w:basedOn w:val="Normal"/>
    <w:link w:val="TextodebaloChar"/>
    <w:uiPriority w:val="99"/>
    <w:semiHidden/>
    <w:unhideWhenUsed/>
    <w:qFormat/>
    <w:rsid w:val="004b2739"/>
    <w:pPr>
      <w:spacing w:before="0" w:after="0"/>
    </w:pPr>
    <w:rPr>
      <w:rFonts w:ascii="Tahoma" w:hAnsi="Tahoma" w:cs="Tahoma"/>
      <w:sz w:val="16"/>
      <w:szCs w:val="16"/>
    </w:rPr>
  </w:style>
  <w:style w:type="paragraph" w:styleId="ListParagraph">
    <w:name w:val="List Paragraph"/>
    <w:basedOn w:val="Normal"/>
    <w:uiPriority w:val="99"/>
    <w:unhideWhenUsed/>
    <w:qFormat/>
    <w:rsid w:val="00747357"/>
    <w:pPr>
      <w:spacing w:before="120" w:after="120"/>
      <w:ind w:left="720" w:hanging="0"/>
      <w:contextualSpacing/>
    </w:pPr>
    <w:rPr/>
  </w:style>
  <w:style w:type="paragraph" w:styleId="NormalWeb">
    <w:name w:val="Normal (Web)"/>
    <w:basedOn w:val="Normal"/>
    <w:uiPriority w:val="99"/>
    <w:semiHidden/>
    <w:unhideWhenUsed/>
    <w:qFormat/>
    <w:rsid w:val="0067246e"/>
    <w:pPr>
      <w:suppressAutoHyphens w:val="false"/>
      <w:spacing w:beforeAutospacing="1" w:afterAutospacing="1"/>
    </w:pPr>
    <w:rPr>
      <w:rFonts w:ascii="Times New Roman" w:hAnsi="Times New Roman" w:eastAsia="Times New Roman" w:cs="Times New Roman"/>
      <w:sz w:val="24"/>
      <w:szCs w:val="24"/>
      <w:lang w:bidi="ar-SA"/>
    </w:rPr>
  </w:style>
  <w:style w:type="paragraph" w:styleId="Rodap">
    <w:name w:val="Footer"/>
    <w:basedOn w:val="Normal"/>
    <w:link w:val="RodapChar"/>
    <w:uiPriority w:val="99"/>
    <w:unhideWhenUsed/>
    <w:rsid w:val="00d85f4c"/>
    <w:pPr>
      <w:tabs>
        <w:tab w:val="clear" w:pos="708"/>
        <w:tab w:val="center" w:pos="4252" w:leader="none"/>
        <w:tab w:val="right" w:pos="8504" w:leader="none"/>
      </w:tabs>
      <w:spacing w:before="0" w:after="0"/>
    </w:pPr>
    <w:rPr/>
  </w:style>
  <w:style w:type="paragraph" w:styleId="LO-Normal">
    <w:name w:val="LO-Normal"/>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LO-Normal0">
    <w:name w:val="LO-Normal0"/>
    <w:qFormat/>
    <w:pPr>
      <w:widowControl/>
      <w:suppressAutoHyphens w:val="true"/>
      <w:bidi w:val="0"/>
      <w:spacing w:lineRule="auto" w:line="240" w:before="120" w:after="120"/>
      <w:jc w:val="left"/>
    </w:pPr>
    <w:rPr>
      <w:rFonts w:ascii="Calibri" w:hAnsi="Calibri" w:eastAsia="Calibri" w:cs="" w:asciiTheme="minorHAnsi" w:cstheme="minorBidi" w:eastAsiaTheme="minorHAnsi" w:hAnsiTheme="minorHAnsi"/>
      <w:color w:val="auto"/>
      <w:kern w:val="0"/>
      <w:sz w:val="22"/>
      <w:szCs w:val="22"/>
      <w:lang w:val="pt-BR" w:eastAsia="pt-BR" w:bidi="pt-BR"/>
    </w:rPr>
  </w:style>
  <w:style w:type="paragraph" w:styleId="Contedodatabela">
    <w:name w:val="Conteúdo da tabela"/>
    <w:basedOn w:val="Normal"/>
    <w:qFormat/>
    <w:pPr>
      <w:widowControl w:val="false"/>
      <w:suppressLineNumbers/>
    </w:pPr>
    <w:rPr/>
  </w:style>
  <w:style w:type="paragraph" w:styleId="Ttulodetabela">
    <w:name w:val="Título de tabela"/>
    <w:basedOn w:val="Contedodatabela"/>
    <w:qFormat/>
    <w:pPr>
      <w:suppressLineNumbers/>
      <w:jc w:val="center"/>
    </w:pPr>
    <w:rPr>
      <w:b/>
      <w:bCs/>
    </w:rPr>
  </w:style>
  <w:style w:type="paragraph" w:styleId="LO-Normal1">
    <w:name w:val="LO-Normal1"/>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LO-Normal2">
    <w:name w:val="LO-Normal2"/>
    <w:qFormat/>
    <w:pPr>
      <w:widowControl/>
      <w:tabs>
        <w:tab w:val="clear" w:pos="708"/>
      </w:tabs>
      <w:suppressAutoHyphens w:val="true"/>
      <w:bidi w:val="0"/>
      <w:spacing w:lineRule="auto" w:line="264" w:before="0" w:after="218"/>
      <w:ind w:left="4700" w:right="298" w:hanging="5"/>
      <w:jc w:val="both"/>
    </w:pPr>
    <w:rPr>
      <w:rFonts w:ascii="Calibri" w:hAnsi="Calibri" w:eastAsia="Calibri" w:cs="Calibri" w:asciiTheme="minorHAnsi" w:eastAsiaTheme="minorHAnsi" w:hAnsiTheme="minorHAnsi"/>
      <w:color w:val="000000"/>
      <w:kern w:val="0"/>
      <w:sz w:val="22"/>
      <w:szCs w:val="22"/>
      <w:lang w:val="en-US" w:eastAsia="en-US" w:bidi="ar-SA"/>
    </w:rPr>
  </w:style>
  <w:style w:type="paragraph" w:styleId="Citaes">
    <w:name w:val="Citações"/>
    <w:basedOn w:val="Normal"/>
    <w:qFormat/>
    <w:pPr>
      <w:spacing w:before="120" w:after="283"/>
      <w:ind w:left="567" w:right="567" w:hanging="0"/>
    </w:pPr>
    <w:rPr/>
  </w:style>
  <w:style w:type="paragraph" w:styleId="TableParagraph">
    <w:name w:val="Table Paragraph"/>
    <w:basedOn w:val="Normal"/>
    <w:qFormat/>
    <w:pPr/>
    <w:rPr/>
  </w:style>
  <w:style w:type="paragraph" w:styleId="Contedodoquadro">
    <w:name w:val="Conteúdo do quadro"/>
    <w:basedOn w:val="Normal"/>
    <w:qFormat/>
    <w:pPr/>
    <w:rPr/>
  </w:style>
  <w:style w:type="paragraph" w:styleId="Default">
    <w:name w:val="Default"/>
    <w:qFormat/>
    <w:pPr>
      <w:widowControl/>
      <w:suppressAutoHyphens w:val="true"/>
      <w:bidi w:val="0"/>
      <w:spacing w:before="0" w:after="0"/>
      <w:jc w:val="left"/>
    </w:pPr>
    <w:rPr>
      <w:rFonts w:ascii="Calibri" w:hAnsi="Calibri" w:eastAsia="Calibri" w:cs=""/>
      <w:color w:val="000000"/>
      <w:kern w:val="0"/>
      <w:sz w:val="24"/>
      <w:szCs w:val="22"/>
      <w:lang w:val="en-US" w:eastAsia="en-US" w:bidi="ar-SA"/>
    </w:rPr>
  </w:style>
  <w:style w:type="numbering" w:styleId="Semlista" w:default="1">
    <w:name w:val="Sem lista"/>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styleId="Tabelacomgrade">
    <w:name w:val="Table Grid"/>
    <w:basedOn w:val="Tabelanormal"/>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jpeg"/>
</Relationships>
</file>

<file path=word/_rels/header3.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xmlns:r="http://schemas.openxmlformats.org/officeDocument/2006/relationships" name="Tema do Office">
  <a:themeElements>
    <a:clrScheme name="Escritório">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1081</TotalTime>
  <Application>LibreOffice/7.5.2.2$Windows_X86_64 LibreOffice_project/53bb9681a964705cf672590721dbc85eb4d0c3a2</Application>
  <AppVersion>15.0000</AppVersion>
  <Pages>12</Pages>
  <Words>3063</Words>
  <Characters>16266</Characters>
  <CharactersWithSpaces>19329</CharactersWithSpaces>
  <Paragraphs>167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Felipe Catani</dc:creator>
  <dc:description/>
  <dc:language>pt-BR</dc:language>
  <cp:lastModifiedBy/>
  <cp:lastPrinted>2025-08-13T11:23:46Z</cp:lastPrinted>
  <dcterms:modified xsi:type="dcterms:W3CDTF">2025-10-14T10:29:40Z</dcterms:modified>
  <cp:revision>186</cp:revision>
  <dc:subject/>
  <dc:title/>
</cp:coreProperties>
</file>

<file path=docProps/custom.xml><?xml version="1.0" encoding="utf-8"?>
<Properties xmlns="http://schemas.openxmlformats.org/officeDocument/2006/custom-properties" xmlns:vt="http://schemas.openxmlformats.org/officeDocument/2006/docPropsVTypes"/>
</file>