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</w:t>
      </w:r>
      <w:r>
        <w:rPr>
          <w:b/>
          <w:bCs/>
          <w:sz w:val="26"/>
          <w:szCs w:val="26"/>
        </w:rPr>
        <w:t>ógrafo 0</w:t>
      </w:r>
      <w:r>
        <w:rPr>
          <w:b/>
          <w:bCs/>
          <w:sz w:val="26"/>
          <w:szCs w:val="26"/>
        </w:rPr>
        <w:t>90</w:t>
      </w:r>
      <w:r>
        <w:rPr>
          <w:b/>
          <w:bCs/>
          <w:sz w:val="26"/>
          <w:szCs w:val="26"/>
        </w:rPr>
        <w:t>/2025 ao PLO 0</w:t>
      </w:r>
      <w:r>
        <w:rPr>
          <w:b/>
          <w:bCs/>
          <w:sz w:val="26"/>
          <w:szCs w:val="26"/>
        </w:rPr>
        <w:t>90</w:t>
      </w:r>
      <w:r>
        <w:rPr>
          <w:b/>
          <w:bCs/>
          <w:sz w:val="26"/>
          <w:szCs w:val="26"/>
        </w:rPr>
        <w:t>/2025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/>
      </w:pPr>
      <w:r>
        <w:rPr>
          <w:rStyle w:val="Fontepargpadro"/>
          <w:b w:val="false"/>
          <w:bCs/>
          <w:i w:val="false"/>
          <w:caps w:val="false"/>
          <w:smallCaps w:val="false"/>
          <w:color w:val="000000"/>
          <w:spacing w:val="0"/>
          <w:sz w:val="26"/>
          <w:szCs w:val="26"/>
        </w:rPr>
        <w:t>Autoriza o Executivo Municipal a realizar parcelamento e concessão de desconto do Imposto Predial e Territorial Urbano (IPTU) e da Taxa de Lixo e Lixo Verde para o exercício de 2026, e dá outras providências.</w:t>
      </w:r>
    </w:p>
    <w:p>
      <w:pPr>
        <w:pStyle w:val="Normal"/>
        <w:widowControl w:val="false"/>
        <w:shd w:fill="FFFFFF"/>
        <w:spacing w:before="300" w:after="150"/>
        <w:ind w:left="5272" w:right="0" w:hanging="0"/>
        <w:jc w:val="both"/>
        <w:rPr>
          <w:rFonts w:ascii="Calibri" w:hAnsi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Corpodotexto"/>
        <w:spacing w:lineRule="auto" w:line="240" w:before="240" w:after="0"/>
        <w:ind w:left="142" w:right="847" w:firstLine="1417"/>
        <w:jc w:val="both"/>
        <w:rPr>
          <w:rFonts w:ascii="Calibri" w:hAnsi="Calibri"/>
          <w:sz w:val="24"/>
        </w:rPr>
      </w:pPr>
      <w:r>
        <w:rPr>
          <w:sz w:val="24"/>
        </w:rPr>
        <w:t>Art.</w:t>
      </w:r>
      <w:r>
        <w:rPr>
          <w:spacing w:val="-6"/>
        </w:rPr>
        <w:t xml:space="preserve"> </w:t>
      </w:r>
      <w:r>
        <w:rPr/>
        <w:t>1º</w:t>
      </w:r>
      <w:r>
        <w:rPr>
          <w:spacing w:val="-6"/>
        </w:rPr>
        <w:t xml:space="preserve"> </w:t>
      </w:r>
      <w:r>
        <w:rPr/>
        <w:t>O</w:t>
      </w:r>
      <w:r>
        <w:rPr>
          <w:spacing w:val="-6"/>
        </w:rPr>
        <w:t xml:space="preserve"> </w:t>
      </w:r>
      <w:r>
        <w:rPr/>
        <w:t>Executivo</w:t>
      </w:r>
      <w:r>
        <w:rPr>
          <w:spacing w:val="-6"/>
        </w:rPr>
        <w:t xml:space="preserve"> </w:t>
      </w:r>
      <w:r>
        <w:rPr/>
        <w:t>Municipal</w:t>
      </w:r>
      <w:r>
        <w:rPr>
          <w:spacing w:val="-6"/>
        </w:rPr>
        <w:t xml:space="preserve"> </w:t>
      </w:r>
      <w:r>
        <w:rPr/>
        <w:t>fica</w:t>
      </w:r>
      <w:r>
        <w:rPr>
          <w:spacing w:val="-6"/>
        </w:rPr>
        <w:t xml:space="preserve"> </w:t>
      </w:r>
      <w:r>
        <w:rPr/>
        <w:t>autorizado</w:t>
      </w:r>
      <w:r>
        <w:rPr>
          <w:spacing w:val="-6"/>
        </w:rPr>
        <w:t xml:space="preserve"> </w:t>
      </w:r>
      <w:r>
        <w:rPr/>
        <w:t>a</w:t>
      </w:r>
      <w:r>
        <w:rPr>
          <w:spacing w:val="-6"/>
        </w:rPr>
        <w:t xml:space="preserve"> </w:t>
      </w:r>
      <w:r>
        <w:rPr/>
        <w:t>conceder</w:t>
      </w:r>
      <w:r>
        <w:rPr>
          <w:spacing w:val="-6"/>
        </w:rPr>
        <w:t xml:space="preserve"> </w:t>
      </w:r>
      <w:r>
        <w:rPr/>
        <w:t>desconto</w:t>
      </w:r>
      <w:r>
        <w:rPr>
          <w:spacing w:val="-6"/>
        </w:rPr>
        <w:t xml:space="preserve"> </w:t>
      </w:r>
      <w:r>
        <w:rPr/>
        <w:t>e</w:t>
      </w:r>
      <w:r>
        <w:rPr>
          <w:spacing w:val="-6"/>
        </w:rPr>
        <w:t xml:space="preserve"> </w:t>
      </w:r>
      <w:r>
        <w:rPr/>
        <w:t>realizar</w:t>
      </w:r>
      <w:r>
        <w:rPr>
          <w:spacing w:val="-6"/>
        </w:rPr>
        <w:t xml:space="preserve"> </w:t>
      </w:r>
      <w:r>
        <w:rPr/>
        <w:t>parcelamento do Imposto Predial e Territorial Urbano (IPTU) e Taxa de Lixo e Lixo Verde, para o exercício de 2026, observando os critérios definidos nesta Lei.</w:t>
      </w:r>
    </w:p>
    <w:p>
      <w:pPr>
        <w:pStyle w:val="Corpodotexto"/>
        <w:spacing w:lineRule="auto" w:line="240" w:before="240" w:after="0"/>
        <w:ind w:left="1558" w:right="0" w:hanging="0"/>
        <w:rPr>
          <w:rFonts w:ascii="Calibri" w:hAnsi="Calibri"/>
          <w:sz w:val="24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7213600</wp:posOffset>
            </wp:positionH>
            <wp:positionV relativeFrom="paragraph">
              <wp:posOffset>92075</wp:posOffset>
            </wp:positionV>
            <wp:extent cx="342900" cy="3616325"/>
            <wp:effectExtent l="0" t="0" r="0" b="0"/>
            <wp:wrapNone/>
            <wp:docPr id="1" name="Figura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</w:t>
      </w:r>
      <w:r>
        <w:rPr>
          <w:spacing w:val="-3"/>
        </w:rPr>
        <w:t xml:space="preserve"> </w:t>
      </w:r>
      <w:r>
        <w:rPr/>
        <w:t>2º</w:t>
      </w:r>
      <w:r>
        <w:rPr>
          <w:spacing w:val="-3"/>
        </w:rPr>
        <w:t xml:space="preserve"> </w:t>
      </w:r>
      <w:r>
        <w:rPr/>
        <w:t>Os</w:t>
      </w:r>
      <w:r>
        <w:rPr>
          <w:spacing w:val="-3"/>
        </w:rPr>
        <w:t xml:space="preserve"> </w:t>
      </w:r>
      <w:r>
        <w:rPr/>
        <w:t>descontos</w:t>
      </w:r>
      <w:r>
        <w:rPr>
          <w:spacing w:val="-2"/>
        </w:rPr>
        <w:t xml:space="preserve"> </w:t>
      </w:r>
      <w:r>
        <w:rPr/>
        <w:t>e</w:t>
      </w:r>
      <w:r>
        <w:rPr>
          <w:spacing w:val="-3"/>
        </w:rPr>
        <w:t xml:space="preserve"> </w:t>
      </w:r>
      <w:r>
        <w:rPr/>
        <w:t>parcelas</w:t>
      </w:r>
      <w:r>
        <w:rPr>
          <w:spacing w:val="-3"/>
        </w:rPr>
        <w:t xml:space="preserve"> </w:t>
      </w:r>
      <w:r>
        <w:rPr/>
        <w:t>referentes</w:t>
      </w:r>
      <w:r>
        <w:rPr>
          <w:spacing w:val="-2"/>
        </w:rPr>
        <w:t xml:space="preserve"> </w:t>
      </w:r>
      <w:r>
        <w:rPr/>
        <w:t>à</w:t>
      </w:r>
      <w:r>
        <w:rPr>
          <w:spacing w:val="-3"/>
        </w:rPr>
        <w:t xml:space="preserve"> </w:t>
      </w:r>
      <w:r>
        <w:rPr/>
        <w:t>imóveis</w:t>
      </w:r>
      <w:r>
        <w:rPr>
          <w:spacing w:val="-3"/>
        </w:rPr>
        <w:t xml:space="preserve"> </w:t>
      </w:r>
      <w:r>
        <w:rPr/>
        <w:t>em</w:t>
      </w:r>
      <w:r>
        <w:rPr>
          <w:spacing w:val="-2"/>
        </w:rPr>
        <w:t xml:space="preserve"> </w:t>
      </w:r>
      <w:r>
        <w:rPr/>
        <w:t>geral</w:t>
      </w:r>
      <w:r>
        <w:rPr>
          <w:spacing w:val="-3"/>
        </w:rPr>
        <w:t xml:space="preserve"> </w:t>
      </w:r>
      <w:r>
        <w:rPr/>
        <w:t>se</w:t>
      </w:r>
      <w:r>
        <w:rPr>
          <w:spacing w:val="-2"/>
        </w:rPr>
        <w:t xml:space="preserve"> </w:t>
      </w:r>
      <w:r>
        <w:rPr/>
        <w:t>dará</w:t>
      </w:r>
      <w:r>
        <w:rPr>
          <w:spacing w:val="-3"/>
        </w:rPr>
        <w:t xml:space="preserve"> </w:t>
      </w:r>
      <w:r>
        <w:rPr/>
        <w:t>da</w:t>
      </w:r>
      <w:r>
        <w:rPr>
          <w:spacing w:val="-2"/>
        </w:rPr>
        <w:t xml:space="preserve"> </w:t>
      </w:r>
      <w:r>
        <w:rPr/>
        <w:t>seguinte</w:t>
      </w:r>
      <w:r>
        <w:rPr>
          <w:spacing w:val="-2"/>
        </w:rPr>
        <w:t xml:space="preserve"> forma:</w:t>
      </w:r>
    </w:p>
    <w:p>
      <w:pPr>
        <w:pStyle w:val="Corpodotexto"/>
        <w:spacing w:lineRule="auto" w:line="240" w:before="8" w:after="0"/>
        <w:ind w:left="0" w:right="0" w:hanging="0"/>
        <w:rPr>
          <w:sz w:val="19"/>
        </w:rPr>
      </w:pPr>
      <w:r>
        <w:rPr>
          <w:sz w:val="19"/>
        </w:rPr>
      </w:r>
    </w:p>
    <w:tbl>
      <w:tblPr>
        <w:tblW w:w="8778" w:type="dxa"/>
        <w:jc w:val="left"/>
        <w:tblInd w:w="17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1"/>
        <w:gridCol w:w="1465"/>
        <w:gridCol w:w="5862"/>
      </w:tblGrid>
      <w:tr>
        <w:trPr>
          <w:trHeight w:val="1180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2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left="25" w:right="391" w:hanging="0"/>
              <w:rPr>
                <w:rFonts w:ascii="Calibri" w:hAnsi="Calibri"/>
                <w:sz w:val="24"/>
              </w:rPr>
            </w:pPr>
            <w:r>
              <w:rPr>
                <w:b/>
                <w:sz w:val="24"/>
              </w:rPr>
              <w:t xml:space="preserve">N° DE </w:t>
            </w:r>
            <w:r>
              <w:rPr>
                <w:b/>
                <w:spacing w:val="-2"/>
                <w:sz w:val="24"/>
              </w:rPr>
              <w:t>PARCELAS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2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b/>
                <w:sz w:val="24"/>
              </w:rPr>
              <w:t xml:space="preserve">DATA DO </w:t>
            </w:r>
            <w:r>
              <w:rPr>
                <w:b/>
                <w:spacing w:val="-2"/>
                <w:sz w:val="24"/>
              </w:rPr>
              <w:t>VENCIMENTO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2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b/>
                <w:spacing w:val="-2"/>
                <w:sz w:val="24"/>
              </w:rPr>
              <w:t>DESCONTO</w:t>
            </w:r>
          </w:p>
        </w:tc>
      </w:tr>
      <w:tr>
        <w:trPr>
          <w:trHeight w:val="1458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499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1ª COTA ÚNICA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(À </w:t>
            </w:r>
            <w:r>
              <w:rPr>
                <w:spacing w:val="-2"/>
                <w:sz w:val="24"/>
              </w:rPr>
              <w:t>VISTA)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13/02/2026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15% (caso o contribuinte não tenha nenhum débito vencido,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dívida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ativa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parcelamento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dívida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ativa)</w:t>
            </w:r>
          </w:p>
        </w:tc>
      </w:tr>
      <w:tr>
        <w:trPr>
          <w:trHeight w:val="1458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499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1ª COTA ÚNICA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(À </w:t>
            </w:r>
            <w:r>
              <w:rPr>
                <w:spacing w:val="-2"/>
                <w:sz w:val="24"/>
              </w:rPr>
              <w:t>VISTA)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13/02/2026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(caso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contribuinte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tenha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débito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vencido,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dívida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ativa ou parcelamento de dívida ativa)</w:t>
            </w:r>
          </w:p>
        </w:tc>
      </w:tr>
      <w:tr>
        <w:trPr>
          <w:trHeight w:val="1458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499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2ª COTA ÚNICA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(À </w:t>
            </w:r>
            <w:r>
              <w:rPr>
                <w:spacing w:val="-2"/>
                <w:sz w:val="24"/>
              </w:rPr>
              <w:t>VISTA)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16/03/2026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qualquer </w:t>
            </w:r>
            <w:r>
              <w:rPr>
                <w:spacing w:val="-2"/>
                <w:sz w:val="24"/>
              </w:rPr>
              <w:t>situação)</w:t>
            </w:r>
          </w:p>
        </w:tc>
      </w:tr>
      <w:tr>
        <w:trPr>
          <w:trHeight w:val="1165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251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16/03/2026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  <w:tr>
        <w:trPr>
          <w:trHeight w:val="1165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251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2ª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15/04/2026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  <w:tr>
        <w:trPr>
          <w:trHeight w:val="1130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251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3ª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15/05/2026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</w:tbl>
    <w:p>
      <w:pPr>
        <w:sectPr>
          <w:headerReference w:type="even" r:id="rId3"/>
          <w:headerReference w:type="default" r:id="rId4"/>
          <w:headerReference w:type="first" r:id="rId5"/>
          <w:type w:val="nextPage"/>
          <w:pgSz w:w="11906" w:h="16838"/>
          <w:pgMar w:left="1575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Corpodotexto"/>
        <w:widowControl w:val="false"/>
        <w:spacing w:lineRule="auto" w:line="240"/>
        <w:ind w:left="0" w:right="0" w:hanging="0"/>
        <w:rPr>
          <w:sz w:val="3"/>
        </w:rPr>
      </w:pPr>
      <w:r>
        <w:rPr>
          <w:sz w:val="3"/>
        </w:rPr>
      </w:r>
    </w:p>
    <w:tbl>
      <w:tblPr>
        <w:tblW w:w="8778" w:type="dxa"/>
        <w:jc w:val="left"/>
        <w:tblInd w:w="17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1"/>
        <w:gridCol w:w="1465"/>
        <w:gridCol w:w="5862"/>
      </w:tblGrid>
      <w:tr>
        <w:trPr>
          <w:trHeight w:val="1165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251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4ª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15/06/2026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  <w:tr>
        <w:trPr>
          <w:trHeight w:val="1165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251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5ª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15/07/2026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  <w:tr>
        <w:trPr>
          <w:trHeight w:val="1165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251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6ª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17/08/2026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  <w:tr>
        <w:trPr>
          <w:trHeight w:val="1165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251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7ª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15/09/2026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  <w:tr>
        <w:trPr>
          <w:trHeight w:val="1165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251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8ª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15/10/2026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  <w:tr>
        <w:trPr>
          <w:trHeight w:val="1165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251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9ª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16/11/2026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  <w:tr>
        <w:trPr>
          <w:trHeight w:val="1130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129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10ª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PARCELA (À PRAZO)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15/12/2026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Sem </w:t>
            </w:r>
            <w:r>
              <w:rPr>
                <w:spacing w:val="-2"/>
                <w:sz w:val="24"/>
              </w:rPr>
              <w:t>descontos</w:t>
            </w:r>
          </w:p>
        </w:tc>
      </w:tr>
    </w:tbl>
    <w:p>
      <w:pPr>
        <w:pStyle w:val="Corpodotexto"/>
        <w:widowControl w:val="false"/>
        <w:spacing w:lineRule="auto" w:line="240" w:before="277" w:after="0"/>
        <w:ind w:left="142" w:right="0" w:firstLine="1417"/>
        <w:rPr>
          <w:rFonts w:ascii="Calibri" w:hAnsi="Calibri"/>
          <w:sz w:val="24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7213600</wp:posOffset>
            </wp:positionH>
            <wp:positionV relativeFrom="paragraph">
              <wp:posOffset>-3122930</wp:posOffset>
            </wp:positionV>
            <wp:extent cx="342900" cy="3616325"/>
            <wp:effectExtent l="0" t="0" r="0" b="0"/>
            <wp:wrapNone/>
            <wp:docPr id="4" name="Figura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</w:t>
      </w:r>
      <w:r>
        <w:rPr>
          <w:spacing w:val="69"/>
        </w:rPr>
        <w:t xml:space="preserve"> </w:t>
      </w:r>
      <w:r>
        <w:rPr/>
        <w:t>3º</w:t>
      </w:r>
      <w:r>
        <w:rPr>
          <w:spacing w:val="69"/>
        </w:rPr>
        <w:t xml:space="preserve"> </w:t>
      </w:r>
      <w:r>
        <w:rPr/>
        <w:t>Os</w:t>
      </w:r>
      <w:r>
        <w:rPr>
          <w:spacing w:val="69"/>
        </w:rPr>
        <w:t xml:space="preserve"> </w:t>
      </w:r>
      <w:r>
        <w:rPr/>
        <w:t>descontos</w:t>
      </w:r>
      <w:r>
        <w:rPr>
          <w:spacing w:val="69"/>
        </w:rPr>
        <w:t xml:space="preserve"> </w:t>
      </w:r>
      <w:r>
        <w:rPr/>
        <w:t>e</w:t>
      </w:r>
      <w:r>
        <w:rPr>
          <w:spacing w:val="69"/>
        </w:rPr>
        <w:t xml:space="preserve"> </w:t>
      </w:r>
      <w:r>
        <w:rPr/>
        <w:t>parcelas</w:t>
      </w:r>
      <w:r>
        <w:rPr>
          <w:spacing w:val="69"/>
        </w:rPr>
        <w:t xml:space="preserve"> </w:t>
      </w:r>
      <w:r>
        <w:rPr/>
        <w:t>referentes</w:t>
      </w:r>
      <w:r>
        <w:rPr>
          <w:spacing w:val="69"/>
        </w:rPr>
        <w:t xml:space="preserve"> </w:t>
      </w:r>
      <w:r>
        <w:rPr/>
        <w:t>à</w:t>
      </w:r>
      <w:r>
        <w:rPr>
          <w:spacing w:val="69"/>
        </w:rPr>
        <w:t xml:space="preserve"> </w:t>
      </w:r>
      <w:r>
        <w:rPr/>
        <w:t>imóveis</w:t>
      </w:r>
      <w:r>
        <w:rPr>
          <w:spacing w:val="69"/>
        </w:rPr>
        <w:t xml:space="preserve"> </w:t>
      </w:r>
      <w:r>
        <w:rPr/>
        <w:t>multipropriedade</w:t>
      </w:r>
      <w:r>
        <w:rPr>
          <w:spacing w:val="69"/>
        </w:rPr>
        <w:t xml:space="preserve"> </w:t>
      </w:r>
      <w:r>
        <w:rPr/>
        <w:t>e</w:t>
      </w:r>
      <w:r>
        <w:rPr>
          <w:spacing w:val="69"/>
        </w:rPr>
        <w:t xml:space="preserve"> </w:t>
      </w:r>
      <w:r>
        <w:rPr/>
        <w:t>box</w:t>
      </w:r>
      <w:r>
        <w:rPr>
          <w:spacing w:val="69"/>
        </w:rPr>
        <w:t xml:space="preserve"> </w:t>
      </w:r>
      <w:r>
        <w:rPr/>
        <w:t>com matrículas individualizadas se darão da seguinte forma:</w:t>
      </w:r>
    </w:p>
    <w:p>
      <w:pPr>
        <w:pStyle w:val="Corpodotexto"/>
        <w:spacing w:lineRule="auto" w:line="240" w:before="8" w:after="0"/>
        <w:ind w:left="0" w:right="0" w:hanging="0"/>
        <w:rPr>
          <w:sz w:val="19"/>
        </w:rPr>
      </w:pPr>
      <w:r>
        <w:rPr>
          <w:sz w:val="19"/>
        </w:rPr>
      </w:r>
    </w:p>
    <w:tbl>
      <w:tblPr>
        <w:tblW w:w="8778" w:type="dxa"/>
        <w:jc w:val="left"/>
        <w:tblInd w:w="17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1"/>
        <w:gridCol w:w="1465"/>
        <w:gridCol w:w="5862"/>
      </w:tblGrid>
      <w:tr>
        <w:trPr>
          <w:trHeight w:val="1180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2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left="25" w:right="391" w:hanging="0"/>
              <w:rPr>
                <w:rFonts w:ascii="Calibri" w:hAnsi="Calibri"/>
                <w:sz w:val="24"/>
              </w:rPr>
            </w:pPr>
            <w:r>
              <w:rPr>
                <w:b/>
                <w:sz w:val="24"/>
              </w:rPr>
              <w:t xml:space="preserve">N° DE </w:t>
            </w:r>
            <w:r>
              <w:rPr>
                <w:b/>
                <w:spacing w:val="-2"/>
                <w:sz w:val="24"/>
              </w:rPr>
              <w:t>PARCELAS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2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b/>
                <w:sz w:val="24"/>
              </w:rPr>
              <w:t xml:space="preserve">DATA DO </w:t>
            </w:r>
            <w:r>
              <w:rPr>
                <w:b/>
                <w:spacing w:val="-2"/>
                <w:sz w:val="24"/>
              </w:rPr>
              <w:t>VENCIMENTO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2" w:after="0"/>
              <w:ind w:left="0" w:right="0" w:hanging="0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0" w:after="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b/>
                <w:spacing w:val="-2"/>
                <w:sz w:val="24"/>
              </w:rPr>
              <w:t>DESCONTO</w:t>
            </w:r>
          </w:p>
        </w:tc>
      </w:tr>
      <w:tr>
        <w:trPr>
          <w:trHeight w:val="1458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499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1ª COTA ÚNICA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(À </w:t>
            </w:r>
            <w:r>
              <w:rPr>
                <w:spacing w:val="-2"/>
                <w:sz w:val="24"/>
              </w:rPr>
              <w:t>VISTA)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13/02/2026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15% (caso o contribuinte não tenha nenhum débito vencido,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dívida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ativa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parcelamento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dívida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ativa)</w:t>
            </w:r>
          </w:p>
        </w:tc>
      </w:tr>
      <w:tr>
        <w:trPr>
          <w:trHeight w:val="1423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499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1ª COTA ÚNICA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(À </w:t>
            </w:r>
            <w:r>
              <w:rPr>
                <w:spacing w:val="-2"/>
                <w:sz w:val="24"/>
              </w:rPr>
              <w:t>VISTA)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13/02/2026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10%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(caso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contribuinte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tenha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débito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vencido,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dívida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ativa ou parcelamento de dívida ativa)</w:t>
            </w:r>
          </w:p>
        </w:tc>
      </w:tr>
    </w:tbl>
    <w:p>
      <w:pPr>
        <w:pStyle w:val="Corpodotexto"/>
        <w:widowControl w:val="false"/>
        <w:spacing w:lineRule="auto" w:line="240"/>
        <w:ind w:left="0" w:right="0" w:hanging="0"/>
        <w:rPr>
          <w:sz w:val="3"/>
        </w:rPr>
      </w:pPr>
      <w:r>
        <w:rPr>
          <w:sz w:val="3"/>
        </w:rPr>
      </w:r>
    </w:p>
    <w:tbl>
      <w:tblPr>
        <w:tblW w:w="8778" w:type="dxa"/>
        <w:jc w:val="left"/>
        <w:tblInd w:w="17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1"/>
        <w:gridCol w:w="1465"/>
        <w:gridCol w:w="5862"/>
      </w:tblGrid>
      <w:tr>
        <w:trPr>
          <w:trHeight w:val="1423" w:hRule="atLeast"/>
        </w:trPr>
        <w:tc>
          <w:tcPr>
            <w:tcW w:w="1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499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2ª COTA ÚNICA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(À </w:t>
            </w:r>
            <w:r>
              <w:rPr>
                <w:spacing w:val="-2"/>
                <w:sz w:val="24"/>
              </w:rPr>
              <w:t>VISTA)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pacing w:val="-2"/>
                <w:sz w:val="24"/>
              </w:rPr>
              <w:t>16/03/2026</w:t>
            </w:r>
          </w:p>
        </w:tc>
        <w:tc>
          <w:tcPr>
            <w:tcW w:w="5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</w:tabs>
              <w:spacing w:lineRule="auto" w:line="240" w:before="120" w:after="120"/>
              <w:ind w:left="25" w:right="0" w:hanging="0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qualquer </w:t>
            </w:r>
            <w:r>
              <w:rPr>
                <w:spacing w:val="-2"/>
                <w:sz w:val="24"/>
              </w:rPr>
              <w:t>situação)</w:t>
            </w:r>
          </w:p>
        </w:tc>
      </w:tr>
    </w:tbl>
    <w:p>
      <w:pPr>
        <w:pStyle w:val="Corpodotexto"/>
        <w:widowControl w:val="false"/>
        <w:spacing w:lineRule="auto" w:line="240" w:before="271" w:after="0"/>
        <w:ind w:left="142" w:right="847" w:firstLine="1417"/>
        <w:jc w:val="both"/>
        <w:rPr>
          <w:rFonts w:ascii="Calibri" w:hAnsi="Calibri"/>
          <w:sz w:val="24"/>
        </w:rPr>
      </w:pPr>
      <w:r>
        <w:rPr/>
        <w:t>Parágrafo único. Em casos excepcionais, poderá ser concedido parcelamento do Imposto Predial</w:t>
      </w:r>
      <w:r>
        <w:rPr>
          <w:spacing w:val="-11"/>
        </w:rPr>
        <w:t xml:space="preserve"> </w:t>
      </w:r>
      <w:r>
        <w:rPr/>
        <w:t>e</w:t>
      </w:r>
      <w:r>
        <w:rPr>
          <w:spacing w:val="-10"/>
        </w:rPr>
        <w:t xml:space="preserve"> </w:t>
      </w:r>
      <w:r>
        <w:rPr/>
        <w:t>Territorial</w:t>
      </w:r>
      <w:r>
        <w:rPr>
          <w:spacing w:val="-10"/>
        </w:rPr>
        <w:t xml:space="preserve"> </w:t>
      </w:r>
      <w:r>
        <w:rPr/>
        <w:t>Urbano</w:t>
      </w:r>
      <w:r>
        <w:rPr>
          <w:spacing w:val="-10"/>
        </w:rPr>
        <w:t xml:space="preserve"> </w:t>
      </w:r>
      <w:r>
        <w:rPr/>
        <w:t>(IPTU)</w:t>
      </w:r>
      <w:r>
        <w:rPr>
          <w:spacing w:val="-10"/>
        </w:rPr>
        <w:t xml:space="preserve"> </w:t>
      </w:r>
      <w:r>
        <w:rPr/>
        <w:t>e</w:t>
      </w:r>
      <w:r>
        <w:rPr>
          <w:spacing w:val="-10"/>
        </w:rPr>
        <w:t xml:space="preserve"> </w:t>
      </w:r>
      <w:r>
        <w:rPr/>
        <w:t>Taxa</w:t>
      </w:r>
      <w:r>
        <w:rPr>
          <w:spacing w:val="-10"/>
        </w:rPr>
        <w:t xml:space="preserve"> </w:t>
      </w:r>
      <w:r>
        <w:rPr/>
        <w:t>de</w:t>
      </w:r>
      <w:r>
        <w:rPr>
          <w:spacing w:val="-11"/>
        </w:rPr>
        <w:t xml:space="preserve"> </w:t>
      </w:r>
      <w:r>
        <w:rPr/>
        <w:t>Lixo</w:t>
      </w:r>
      <w:r>
        <w:rPr>
          <w:spacing w:val="-11"/>
        </w:rPr>
        <w:t xml:space="preserve"> </w:t>
      </w:r>
      <w:r>
        <w:rPr/>
        <w:t>e</w:t>
      </w:r>
      <w:r>
        <w:rPr>
          <w:spacing w:val="-10"/>
        </w:rPr>
        <w:t xml:space="preserve"> </w:t>
      </w:r>
      <w:r>
        <w:rPr/>
        <w:t>Lixo</w:t>
      </w:r>
      <w:r>
        <w:rPr>
          <w:spacing w:val="-11"/>
        </w:rPr>
        <w:t xml:space="preserve"> </w:t>
      </w:r>
      <w:r>
        <w:rPr/>
        <w:t>Verde</w:t>
      </w:r>
      <w:r>
        <w:rPr>
          <w:spacing w:val="-10"/>
        </w:rPr>
        <w:t xml:space="preserve"> </w:t>
      </w:r>
      <w:r>
        <w:rPr/>
        <w:t>para</w:t>
      </w:r>
      <w:r>
        <w:rPr>
          <w:spacing w:val="-10"/>
        </w:rPr>
        <w:t xml:space="preserve"> </w:t>
      </w:r>
      <w:r>
        <w:rPr/>
        <w:t>imóveis</w:t>
      </w:r>
      <w:r>
        <w:rPr>
          <w:spacing w:val="-10"/>
        </w:rPr>
        <w:t xml:space="preserve"> </w:t>
      </w:r>
      <w:r>
        <w:rPr/>
        <w:t>multipropriedade</w:t>
      </w:r>
      <w:r>
        <w:rPr>
          <w:spacing w:val="-11"/>
        </w:rPr>
        <w:t xml:space="preserve"> </w:t>
      </w:r>
      <w:r>
        <w:rPr/>
        <w:t>e</w:t>
      </w:r>
      <w:r>
        <w:rPr>
          <w:spacing w:val="-10"/>
        </w:rPr>
        <w:t xml:space="preserve"> </w:t>
      </w:r>
      <w:r>
        <w:rPr/>
        <w:t>boxes</w:t>
      </w:r>
      <w:r>
        <w:rPr>
          <w:spacing w:val="-10"/>
        </w:rPr>
        <w:t xml:space="preserve"> </w:t>
      </w:r>
      <w:r>
        <w:rPr/>
        <w:t>com matrículas individualizadas, mediante requerimento formal do contribuinte através de protocolo endereçado à Secretaria Municipal da Fazenda, desde que respeitados os seguintes critérios: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892" w:leader="none"/>
        </w:tabs>
        <w:spacing w:lineRule="auto" w:line="240"/>
        <w:rPr>
          <w:rFonts w:ascii="Calibri" w:hAnsi="Calibri"/>
          <w:sz w:val="24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7213600</wp:posOffset>
            </wp:positionH>
            <wp:positionV relativeFrom="paragraph">
              <wp:posOffset>99060</wp:posOffset>
            </wp:positionV>
            <wp:extent cx="342900" cy="3616325"/>
            <wp:effectExtent l="0" t="0" r="0" b="0"/>
            <wp:wrapNone/>
            <wp:docPr id="5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Imóveis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multipropriedade: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2018" w:leader="none"/>
        </w:tabs>
        <w:spacing w:lineRule="auto" w:line="240"/>
        <w:rPr>
          <w:rFonts w:ascii="Calibri" w:hAnsi="Calibri"/>
          <w:sz w:val="24"/>
        </w:rPr>
      </w:pPr>
      <w:r>
        <w:rPr>
          <w:sz w:val="24"/>
        </w:rPr>
        <w:t>Imóveis</w:t>
      </w:r>
      <w:r>
        <w:rPr>
          <w:spacing w:val="-7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titularidade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5"/>
          <w:sz w:val="24"/>
        </w:rPr>
        <w:t xml:space="preserve"> </w:t>
      </w:r>
      <w:r>
        <w:rPr>
          <w:sz w:val="24"/>
        </w:rPr>
        <w:t>instituidor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condomínio</w:t>
      </w:r>
      <w:r>
        <w:rPr>
          <w:spacing w:val="-4"/>
          <w:sz w:val="24"/>
        </w:rPr>
        <w:t xml:space="preserve"> </w:t>
      </w:r>
      <w:r>
        <w:rPr>
          <w:sz w:val="24"/>
        </w:rPr>
        <w:t>em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multipropriedade;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2030" w:leader="none"/>
        </w:tabs>
        <w:spacing w:lineRule="auto" w:line="240"/>
        <w:rPr>
          <w:rFonts w:ascii="Calibri" w:hAnsi="Calibri"/>
          <w:sz w:val="24"/>
        </w:rPr>
      </w:pPr>
      <w:r>
        <w:rPr>
          <w:sz w:val="24"/>
        </w:rPr>
        <w:t>Limite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(dez)</w:t>
      </w:r>
      <w:r>
        <w:rPr>
          <w:spacing w:val="-3"/>
          <w:sz w:val="24"/>
        </w:rPr>
        <w:t xml:space="preserve"> </w:t>
      </w:r>
      <w:r>
        <w:rPr>
          <w:sz w:val="24"/>
        </w:rPr>
        <w:t>parcelas,</w:t>
      </w:r>
      <w:r>
        <w:rPr>
          <w:spacing w:val="-2"/>
          <w:sz w:val="24"/>
        </w:rPr>
        <w:t xml:space="preserve"> </w:t>
      </w:r>
      <w:r>
        <w:rPr>
          <w:sz w:val="24"/>
        </w:rPr>
        <w:t>conforme</w:t>
      </w:r>
      <w:r>
        <w:rPr>
          <w:spacing w:val="-2"/>
          <w:sz w:val="24"/>
        </w:rPr>
        <w:t xml:space="preserve"> </w:t>
      </w:r>
      <w:r>
        <w:rPr>
          <w:sz w:val="24"/>
        </w:rPr>
        <w:t>os</w:t>
      </w:r>
      <w:r>
        <w:rPr>
          <w:spacing w:val="-3"/>
          <w:sz w:val="24"/>
        </w:rPr>
        <w:t xml:space="preserve"> </w:t>
      </w:r>
      <w:r>
        <w:rPr>
          <w:sz w:val="24"/>
        </w:rPr>
        <w:t>prazos</w:t>
      </w:r>
      <w:r>
        <w:rPr>
          <w:spacing w:val="-3"/>
          <w:sz w:val="24"/>
        </w:rPr>
        <w:t xml:space="preserve"> </w:t>
      </w:r>
      <w:r>
        <w:rPr>
          <w:sz w:val="24"/>
        </w:rPr>
        <w:t>definidos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art.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2º.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953" w:leader="none"/>
        </w:tabs>
        <w:spacing w:lineRule="auto" w:line="240"/>
        <w:rPr>
          <w:rFonts w:ascii="Calibri" w:hAnsi="Calibri"/>
          <w:sz w:val="24"/>
        </w:rPr>
      </w:pP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Boxes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matrículas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individualizadas: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2018" w:leader="none"/>
        </w:tabs>
        <w:spacing w:lineRule="auto" w:line="240"/>
        <w:rPr>
          <w:rFonts w:ascii="Calibri" w:hAnsi="Calibri"/>
          <w:sz w:val="24"/>
        </w:rPr>
      </w:pPr>
      <w:r>
        <w:rPr>
          <w:sz w:val="24"/>
        </w:rPr>
        <w:t>Box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área</w:t>
      </w:r>
      <w:r>
        <w:rPr>
          <w:spacing w:val="-1"/>
          <w:sz w:val="24"/>
        </w:rPr>
        <w:t xml:space="preserve"> </w:t>
      </w:r>
      <w:r>
        <w:rPr>
          <w:sz w:val="24"/>
        </w:rPr>
        <w:t>superior</w:t>
      </w:r>
      <w:r>
        <w:rPr>
          <w:spacing w:val="-1"/>
          <w:sz w:val="24"/>
        </w:rPr>
        <w:t xml:space="preserve"> </w:t>
      </w:r>
      <w:r>
        <w:rPr>
          <w:sz w:val="24"/>
        </w:rPr>
        <w:t>à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30 </w:t>
      </w:r>
      <w:r>
        <w:rPr>
          <w:spacing w:val="-5"/>
          <w:sz w:val="24"/>
        </w:rPr>
        <w:t>m²;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ListParagraph"/>
        <w:numPr>
          <w:ilvl w:val="1"/>
          <w:numId w:val="1"/>
        </w:numPr>
        <w:tabs>
          <w:tab w:val="clear" w:pos="708"/>
          <w:tab w:val="left" w:pos="2030" w:leader="none"/>
        </w:tabs>
        <w:spacing w:lineRule="auto" w:line="240"/>
        <w:rPr>
          <w:rFonts w:ascii="Calibri" w:hAnsi="Calibri"/>
          <w:sz w:val="24"/>
        </w:rPr>
      </w:pPr>
      <w:r>
        <w:rPr>
          <w:sz w:val="24"/>
        </w:rPr>
        <w:t>Limite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até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2"/>
          <w:sz w:val="24"/>
        </w:rPr>
        <w:t xml:space="preserve"> </w:t>
      </w:r>
      <w:r>
        <w:rPr>
          <w:sz w:val="24"/>
        </w:rPr>
        <w:t>(cinco)</w:t>
      </w:r>
      <w:r>
        <w:rPr>
          <w:spacing w:val="-3"/>
          <w:sz w:val="24"/>
        </w:rPr>
        <w:t xml:space="preserve"> </w:t>
      </w:r>
      <w:r>
        <w:rPr>
          <w:sz w:val="24"/>
        </w:rPr>
        <w:t>parcelas,</w:t>
      </w:r>
      <w:r>
        <w:rPr>
          <w:spacing w:val="-2"/>
          <w:sz w:val="24"/>
        </w:rPr>
        <w:t xml:space="preserve"> </w:t>
      </w:r>
      <w:r>
        <w:rPr>
          <w:sz w:val="24"/>
        </w:rPr>
        <w:t>conforme</w:t>
      </w:r>
      <w:r>
        <w:rPr>
          <w:spacing w:val="-3"/>
          <w:sz w:val="24"/>
        </w:rPr>
        <w:t xml:space="preserve"> </w:t>
      </w:r>
      <w:r>
        <w:rPr>
          <w:sz w:val="24"/>
        </w:rPr>
        <w:t>os</w:t>
      </w:r>
      <w:r>
        <w:rPr>
          <w:spacing w:val="-3"/>
          <w:sz w:val="24"/>
        </w:rPr>
        <w:t xml:space="preserve"> </w:t>
      </w:r>
      <w:r>
        <w:rPr>
          <w:sz w:val="24"/>
        </w:rPr>
        <w:t>prazos</w:t>
      </w:r>
      <w:r>
        <w:rPr>
          <w:spacing w:val="-3"/>
          <w:sz w:val="24"/>
        </w:rPr>
        <w:t xml:space="preserve"> </w:t>
      </w:r>
      <w:r>
        <w:rPr>
          <w:sz w:val="24"/>
        </w:rPr>
        <w:t>definidos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art.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2º.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Corpodotexto"/>
        <w:spacing w:lineRule="auto" w:line="240"/>
        <w:ind w:left="362" w:right="968" w:firstLine="1417"/>
        <w:jc w:val="both"/>
        <w:rPr>
          <w:rFonts w:ascii="Calibri" w:hAnsi="Calibri"/>
          <w:sz w:val="24"/>
        </w:rPr>
      </w:pPr>
      <w:r>
        <w:rPr/>
        <w:t>Art. 4º Ocorrendo vencimento das parcelas acima referidas em finais de semana ou feriados, fica automaticamente prorrogado o vencimento para o primeiro dia útil subsequente.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Corpodotexto"/>
        <w:spacing w:lineRule="auto" w:line="240"/>
        <w:ind w:left="362" w:right="967" w:firstLine="1417"/>
        <w:jc w:val="both"/>
        <w:rPr>
          <w:rFonts w:ascii="Calibri" w:hAnsi="Calibri"/>
          <w:sz w:val="24"/>
        </w:rPr>
      </w:pPr>
      <w:r>
        <w:rPr/>
        <w:t>Art.</w:t>
      </w:r>
      <w:r>
        <w:rPr>
          <w:spacing w:val="-4"/>
        </w:rPr>
        <w:t xml:space="preserve"> </w:t>
      </w:r>
      <w:r>
        <w:rPr/>
        <w:t>5º</w:t>
      </w:r>
      <w:r>
        <w:rPr>
          <w:spacing w:val="-4"/>
        </w:rPr>
        <w:t xml:space="preserve"> </w:t>
      </w:r>
      <w:r>
        <w:rPr/>
        <w:t>Em</w:t>
      </w:r>
      <w:r>
        <w:rPr>
          <w:spacing w:val="-4"/>
        </w:rPr>
        <w:t xml:space="preserve"> </w:t>
      </w:r>
      <w:r>
        <w:rPr/>
        <w:t>caso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atraso</w:t>
      </w:r>
      <w:r>
        <w:rPr>
          <w:spacing w:val="-4"/>
        </w:rPr>
        <w:t xml:space="preserve"> </w:t>
      </w:r>
      <w:r>
        <w:rPr/>
        <w:t>no</w:t>
      </w:r>
      <w:r>
        <w:rPr>
          <w:spacing w:val="-4"/>
        </w:rPr>
        <w:t xml:space="preserve"> </w:t>
      </w:r>
      <w:r>
        <w:rPr/>
        <w:t>pagamento</w:t>
      </w:r>
      <w:r>
        <w:rPr>
          <w:spacing w:val="-4"/>
        </w:rPr>
        <w:t xml:space="preserve"> </w:t>
      </w:r>
      <w:r>
        <w:rPr/>
        <w:t>do</w:t>
      </w:r>
      <w:r>
        <w:rPr>
          <w:spacing w:val="-4"/>
        </w:rPr>
        <w:t xml:space="preserve"> </w:t>
      </w:r>
      <w:r>
        <w:rPr/>
        <w:t>IPTU</w:t>
      </w:r>
      <w:r>
        <w:rPr>
          <w:spacing w:val="-4"/>
        </w:rPr>
        <w:t xml:space="preserve"> </w:t>
      </w:r>
      <w:r>
        <w:rPr/>
        <w:t>e</w:t>
      </w:r>
      <w:r>
        <w:rPr>
          <w:spacing w:val="-4"/>
        </w:rPr>
        <w:t xml:space="preserve"> </w:t>
      </w:r>
      <w:r>
        <w:rPr/>
        <w:t>Taxa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Coleta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Lixo</w:t>
      </w:r>
      <w:r>
        <w:rPr>
          <w:spacing w:val="-4"/>
        </w:rPr>
        <w:t xml:space="preserve"> </w:t>
      </w:r>
      <w:r>
        <w:rPr/>
        <w:t>e</w:t>
      </w:r>
      <w:r>
        <w:rPr>
          <w:spacing w:val="-4"/>
        </w:rPr>
        <w:t xml:space="preserve"> </w:t>
      </w:r>
      <w:r>
        <w:rPr/>
        <w:t>Lixo</w:t>
      </w:r>
      <w:r>
        <w:rPr>
          <w:spacing w:val="-4"/>
        </w:rPr>
        <w:t xml:space="preserve"> </w:t>
      </w:r>
      <w:r>
        <w:rPr/>
        <w:t>Verde, nas datas definidas nesta Lei, incidirá sobre o valor principal, até a data do efetivo pagamento, correção monetária, juros e multa conforme disposto na Lei nº 2.158, de 18 de dezembro de 2023 – Código Tributário Municipal.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Corpodotexto"/>
        <w:spacing w:lineRule="auto" w:line="240"/>
        <w:ind w:left="362" w:right="968" w:firstLine="1417"/>
        <w:jc w:val="both"/>
        <w:rPr>
          <w:rFonts w:ascii="Calibri" w:hAnsi="Calibri"/>
          <w:sz w:val="24"/>
        </w:rPr>
      </w:pPr>
      <w:r>
        <w:rPr/>
        <w:t>Art. 6º O Poder Executivo poderá postergar a data de vencimento da cota única, por Decreto Municipal.</w:t>
      </w:r>
    </w:p>
    <w:p>
      <w:pPr>
        <w:pStyle w:val="Corpodotexto"/>
        <w:spacing w:lineRule="auto" w:line="240" w:before="7" w:after="0"/>
        <w:ind w:left="0" w:right="0" w:hanging="0"/>
        <w:rPr>
          <w:rFonts w:ascii="Calibri" w:hAnsi="Calibri"/>
          <w:sz w:val="24"/>
        </w:rPr>
      </w:pPr>
      <w:r>
        <w:rPr/>
      </w:r>
    </w:p>
    <w:p>
      <w:pPr>
        <w:pStyle w:val="Normal"/>
        <w:jc w:val="left"/>
        <w:rPr>
          <w:rFonts w:ascii="Calibri" w:hAnsi="Calibri"/>
          <w:sz w:val="24"/>
        </w:rPr>
      </w:pPr>
      <w:r>
        <w:rPr/>
        <w:t>Art.</w:t>
      </w:r>
      <w:r>
        <w:rPr>
          <w:spacing w:val="-3"/>
        </w:rPr>
        <w:t xml:space="preserve"> </w:t>
      </w:r>
      <w:r>
        <w:rPr/>
        <w:t>7º</w:t>
      </w:r>
      <w:r>
        <w:rPr>
          <w:spacing w:val="-4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Poder</w:t>
      </w:r>
      <w:r>
        <w:rPr>
          <w:spacing w:val="-3"/>
        </w:rPr>
        <w:t xml:space="preserve"> </w:t>
      </w:r>
      <w:r>
        <w:rPr/>
        <w:t>Executivo</w:t>
      </w:r>
      <w:r>
        <w:rPr>
          <w:spacing w:val="-4"/>
        </w:rPr>
        <w:t xml:space="preserve"> </w:t>
      </w:r>
      <w:r>
        <w:rPr/>
        <w:t>regulamentará,</w:t>
      </w:r>
      <w:r>
        <w:rPr>
          <w:spacing w:val="-4"/>
        </w:rPr>
        <w:t xml:space="preserve"> </w:t>
      </w:r>
      <w:r>
        <w:rPr/>
        <w:t>no</w:t>
      </w:r>
      <w:r>
        <w:rPr>
          <w:spacing w:val="-4"/>
        </w:rPr>
        <w:t xml:space="preserve"> </w:t>
      </w:r>
      <w:r>
        <w:rPr/>
        <w:t>que</w:t>
      </w:r>
      <w:r>
        <w:rPr>
          <w:spacing w:val="-4"/>
        </w:rPr>
        <w:t xml:space="preserve"> </w:t>
      </w:r>
      <w:r>
        <w:rPr/>
        <w:t>couber,</w:t>
      </w:r>
      <w:r>
        <w:rPr>
          <w:spacing w:val="-4"/>
        </w:rPr>
        <w:t xml:space="preserve"> </w:t>
      </w:r>
      <w:r>
        <w:rPr/>
        <w:t>a</w:t>
      </w:r>
      <w:r>
        <w:rPr>
          <w:spacing w:val="-4"/>
        </w:rPr>
        <w:t xml:space="preserve"> </w:t>
      </w:r>
      <w:r>
        <w:rPr/>
        <w:t>presente</w:t>
      </w:r>
      <w:r>
        <w:rPr>
          <w:spacing w:val="-3"/>
        </w:rPr>
        <w:t xml:space="preserve"> </w:t>
      </w:r>
      <w:r>
        <w:rPr/>
        <w:t>Lei. Art. 8º Esta lei entra em vigor na data de sua publicação.</w:t>
      </w:r>
    </w:p>
    <w:p>
      <w:pPr>
        <w:pStyle w:val="Normal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Corpodotexto"/>
        <w:spacing w:lineRule="auto" w:line="276" w:before="247" w:after="0"/>
        <w:ind w:left="2802" w:right="0" w:hanging="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  <w:t>Gramado, 09 de Dezembro de 2025</w:t>
      </w:r>
      <w:r>
        <w:rPr>
          <w:spacing w:val="-2"/>
          <w:sz w:val="26"/>
          <w:szCs w:val="26"/>
        </w:rPr>
        <w:t>.</w:t>
      </w:r>
    </w:p>
    <w:p>
      <w:pPr>
        <w:pStyle w:val="Normal"/>
        <w:jc w:val="center"/>
        <w:rPr>
          <w:rFonts w:ascii="Calibri" w:hAnsi="Calibri"/>
          <w:sz w:val="26"/>
          <w:szCs w:val="26"/>
        </w:rPr>
      </w:pPr>
      <w:r>
        <w:rPr/>
      </w:r>
    </w:p>
    <w:p>
      <w:pPr>
        <w:pStyle w:val="Normal"/>
        <w:jc w:val="center"/>
        <w:rPr>
          <w:rFonts w:ascii="Calibri" w:hAnsi="Calibri"/>
          <w:sz w:val="26"/>
          <w:szCs w:val="26"/>
        </w:rPr>
      </w:pPr>
      <w:r>
        <w:rPr>
          <w:rFonts w:cs="Calibr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575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120"/>
        <w:jc w:val="center"/>
        <w:rPr/>
      </w:pPr>
      <w:r>
        <w:rPr>
          <w:rStyle w:val="Fontepargpadro"/>
          <w:rFonts w:cs="Calibr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0">
    <w:charset w:val="01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3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"/>
      <w:lvlJc w:val="left"/>
      <w:pPr>
        <w:tabs>
          <w:tab w:val="num" w:pos="0"/>
        </w:tabs>
        <w:ind w:left="1893" w:hanging="115"/>
      </w:pPr>
      <w:rPr>
        <w:sz w:val="24"/>
        <w:spacing w:val="0"/>
        <w:i w:val="false"/>
        <w:b w:val="false"/>
        <w:szCs w:val="24"/>
        <w:iCs w:val="false"/>
        <w:bCs w:val="false"/>
        <w:w w:val="100"/>
        <w:rFonts w:ascii="Calibri" w:hAnsi="Calibri" w:eastAsia="Calibri" w:cs="Calibri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2020" w:hanging="242"/>
      </w:pPr>
      <w:rPr>
        <w:sz w:val="24"/>
        <w:spacing w:val="-1"/>
        <w:i w:val="false"/>
        <w:b w:val="false"/>
        <w:szCs w:val="24"/>
        <w:iCs w:val="false"/>
        <w:bCs w:val="false"/>
        <w:w w:val="100"/>
        <w:rFonts w:ascii="Calibri" w:hAnsi="Calibri" w:eastAsia="Calibri" w:cs="Calibri"/>
      </w:rPr>
    </w:lvl>
    <w:lvl w:ilvl="2">
      <w:start w:val="0"/>
      <w:numFmt w:val="bullet"/>
      <w:lvlText w:val="•"/>
      <w:lvlJc w:val="left"/>
      <w:pPr>
        <w:tabs>
          <w:tab w:val="num" w:pos="0"/>
        </w:tabs>
        <w:ind w:left="3039" w:hanging="242"/>
      </w:pPr>
      <w:rPr>
        <w:rFonts w:ascii="0" w:hAnsi="0" w:cs="0" w:hint="default"/>
      </w:rPr>
    </w:lvl>
    <w:lvl w:ilvl="3">
      <w:start w:val="0"/>
      <w:numFmt w:val="bullet"/>
      <w:lvlText w:val="•"/>
      <w:lvlJc w:val="left"/>
      <w:pPr>
        <w:tabs>
          <w:tab w:val="num" w:pos="0"/>
        </w:tabs>
        <w:ind w:left="4058" w:hanging="242"/>
      </w:pPr>
      <w:rPr>
        <w:rFonts w:ascii="0" w:hAnsi="0" w:cs="0" w:hint="default"/>
      </w:rPr>
    </w:lvl>
    <w:lvl w:ilvl="4">
      <w:start w:val="0"/>
      <w:numFmt w:val="bullet"/>
      <w:lvlText w:val="•"/>
      <w:lvlJc w:val="left"/>
      <w:pPr>
        <w:tabs>
          <w:tab w:val="num" w:pos="0"/>
        </w:tabs>
        <w:ind w:left="5077" w:hanging="242"/>
      </w:pPr>
      <w:rPr>
        <w:rFonts w:ascii="0" w:hAnsi="0" w:cs="0" w:hint="default"/>
      </w:rPr>
    </w:lvl>
    <w:lvl w:ilvl="5">
      <w:start w:val="0"/>
      <w:numFmt w:val="bullet"/>
      <w:lvlText w:val="•"/>
      <w:lvlJc w:val="left"/>
      <w:pPr>
        <w:tabs>
          <w:tab w:val="num" w:pos="0"/>
        </w:tabs>
        <w:ind w:left="6096" w:hanging="242"/>
      </w:pPr>
      <w:rPr>
        <w:rFonts w:ascii="0" w:hAnsi="0" w:cs="0" w:hint="default"/>
      </w:rPr>
    </w:lvl>
    <w:lvl w:ilvl="6">
      <w:start w:val="0"/>
      <w:numFmt w:val="bullet"/>
      <w:lvlText w:val="•"/>
      <w:lvlJc w:val="left"/>
      <w:pPr>
        <w:tabs>
          <w:tab w:val="num" w:pos="0"/>
        </w:tabs>
        <w:ind w:left="7115" w:hanging="242"/>
      </w:pPr>
      <w:rPr>
        <w:rFonts w:ascii="0" w:hAnsi="0" w:cs="0" w:hint="default"/>
      </w:rPr>
    </w:lvl>
    <w:lvl w:ilvl="7">
      <w:start w:val="0"/>
      <w:numFmt w:val="bullet"/>
      <w:lvlText w:val="•"/>
      <w:lvlJc w:val="left"/>
      <w:pPr>
        <w:tabs>
          <w:tab w:val="num" w:pos="0"/>
        </w:tabs>
        <w:ind w:left="8134" w:hanging="242"/>
      </w:pPr>
      <w:rPr>
        <w:rFonts w:ascii="0" w:hAnsi="0" w:cs="0" w:hint="default"/>
      </w:rPr>
    </w:lvl>
    <w:lvl w:ilvl="8">
      <w:start w:val="0"/>
      <w:numFmt w:val="bullet"/>
      <w:lvlText w:val="•"/>
      <w:lvlJc w:val="left"/>
      <w:pPr>
        <w:tabs>
          <w:tab w:val="num" w:pos="0"/>
        </w:tabs>
        <w:ind w:left="9153" w:hanging="242"/>
      </w:pPr>
      <w:rPr>
        <w:rFonts w:ascii="0" w:hAnsi="0" w:cs="0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">
    <w:name w:val="Conteúdo do quadro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image" Target="media/image1.png"/><Relationship Id="rId7" Type="http://schemas.openxmlformats.org/officeDocument/2006/relationships/image" Target="media/image1.pn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1484</TotalTime>
  <Application>LibreOffice/7.5.2.2$Windows_X86_64 LibreOffice_project/53bb9681a964705cf672590721dbc85eb4d0c3a2</Application>
  <AppVersion>15.0000</AppVersion>
  <Pages>5</Pages>
  <Words>542</Words>
  <Characters>2869</Characters>
  <CharactersWithSpaces>3332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2025-12-09T10:44:14Z</dcterms:modified>
  <cp:revision>193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