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4477,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11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41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1057015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Autoriza o Executivo Municipal a realizar parcelamento e concessão de desconto do Imposto Predial e Territorial Urbano (IPTU) e da Taxa de Lixo e Lixo Verde para o exercício de</w:t>
      </w:r>
      <w:r>
        <w:rPr>
          <w:spacing w:val="80"/>
        </w:rPr>
        <w:t> </w:t>
      </w:r>
      <w:r>
        <w:rPr/>
        <w:t>2026,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2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7"/>
        <w:rPr>
          <w:rFonts w:ascii="Arial MT"/>
        </w:rPr>
      </w:pPr>
    </w:p>
    <w:p>
      <w:pPr>
        <w:pStyle w:val="BodyText"/>
        <w:spacing w:line="196" w:lineRule="auto" w:before="1"/>
        <w:ind w:left="57" w:right="890" w:firstLine="156"/>
        <w:jc w:val="both"/>
      </w:pPr>
      <w:r>
        <w:rPr/>
        <w:t>Art. 1º O Executivo Municipal fica autorizado a conceder desconto e realizar parcelamento do Imposto Predial e Territorial Urbano (IPTU) e Taxa de Lixo e Lixo Verde, para o exercício de 2026, observando os critérios definidos nesta Lei.</w:t>
      </w:r>
    </w:p>
    <w:p>
      <w:pPr>
        <w:pStyle w:val="BodyText"/>
        <w:spacing w:before="181"/>
        <w:ind w:left="156"/>
        <w:jc w:val="both"/>
      </w:pPr>
      <w:r>
        <w:rPr/>
        <w:t>Art.</w:t>
      </w:r>
      <w:r>
        <w:rPr>
          <w:spacing w:val="-7"/>
        </w:rPr>
        <w:t> </w:t>
      </w:r>
      <w:r>
        <w:rPr/>
        <w:t>2º</w:t>
      </w:r>
      <w:r>
        <w:rPr>
          <w:spacing w:val="-4"/>
        </w:rPr>
        <w:t> </w:t>
      </w:r>
      <w:r>
        <w:rPr/>
        <w:t>Os</w:t>
      </w:r>
      <w:r>
        <w:rPr>
          <w:spacing w:val="-4"/>
        </w:rPr>
        <w:t> </w:t>
      </w:r>
      <w:r>
        <w:rPr/>
        <w:t>descontos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parcelas</w:t>
      </w:r>
      <w:r>
        <w:rPr>
          <w:spacing w:val="-5"/>
        </w:rPr>
        <w:t> </w:t>
      </w:r>
      <w:r>
        <w:rPr/>
        <w:t>referentes</w:t>
      </w:r>
      <w:r>
        <w:rPr>
          <w:spacing w:val="-4"/>
        </w:rPr>
        <w:t> </w:t>
      </w:r>
      <w:r>
        <w:rPr/>
        <w:t>à</w:t>
      </w:r>
      <w:r>
        <w:rPr>
          <w:spacing w:val="-4"/>
        </w:rPr>
        <w:t> </w:t>
      </w:r>
      <w:r>
        <w:rPr/>
        <w:t>imóveis</w:t>
      </w:r>
      <w:r>
        <w:rPr>
          <w:spacing w:val="-4"/>
        </w:rPr>
        <w:t> </w:t>
      </w:r>
      <w:r>
        <w:rPr/>
        <w:t>em</w:t>
      </w:r>
      <w:r>
        <w:rPr>
          <w:spacing w:val="-4"/>
        </w:rPr>
        <w:t> </w:t>
      </w:r>
      <w:r>
        <w:rPr/>
        <w:t>geral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dará</w:t>
      </w:r>
      <w:r>
        <w:rPr>
          <w:spacing w:val="-4"/>
        </w:rPr>
        <w:t> </w:t>
      </w:r>
      <w:r>
        <w:rPr/>
        <w:t>da</w:t>
      </w:r>
      <w:r>
        <w:rPr>
          <w:spacing w:val="-4"/>
        </w:rPr>
        <w:t> </w:t>
      </w:r>
      <w:r>
        <w:rPr/>
        <w:t>seguinte</w:t>
      </w:r>
      <w:r>
        <w:rPr>
          <w:spacing w:val="-4"/>
        </w:rPr>
        <w:t> </w:t>
      </w:r>
      <w:r>
        <w:rPr>
          <w:spacing w:val="-2"/>
        </w:rPr>
        <w:t>forma:</w:t>
      </w:r>
    </w:p>
    <w:p>
      <w:pPr>
        <w:pStyle w:val="BodyText"/>
        <w:spacing w:before="56"/>
        <w:rPr>
          <w:sz w:val="20"/>
        </w:rPr>
      </w:pP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85"/>
        <w:gridCol w:w="3085"/>
        <w:gridCol w:w="3070"/>
      </w:tblGrid>
      <w:tr>
        <w:trPr>
          <w:trHeight w:val="328" w:hRule="atLeast"/>
        </w:trPr>
        <w:tc>
          <w:tcPr>
            <w:tcW w:w="3085" w:type="dxa"/>
          </w:tcPr>
          <w:p>
            <w:pPr>
              <w:pStyle w:val="TableParagraph"/>
              <w:spacing w:line="266" w:lineRule="exact"/>
              <w:ind w:left="591"/>
              <w:rPr>
                <w:b/>
                <w:sz w:val="22"/>
              </w:rPr>
            </w:pPr>
            <w:r>
              <w:rPr>
                <w:b/>
                <w:sz w:val="22"/>
              </w:rPr>
              <w:t>N°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> PARCELAS</w:t>
            </w:r>
          </w:p>
        </w:tc>
        <w:tc>
          <w:tcPr>
            <w:tcW w:w="3085" w:type="dxa"/>
          </w:tcPr>
          <w:p>
            <w:pPr>
              <w:pStyle w:val="TableParagraph"/>
              <w:spacing w:line="266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DATA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VENCIMENTO</w:t>
            </w:r>
          </w:p>
        </w:tc>
        <w:tc>
          <w:tcPr>
            <w:tcW w:w="3070" w:type="dxa"/>
          </w:tcPr>
          <w:p>
            <w:pPr>
              <w:pStyle w:val="TableParagraph"/>
              <w:spacing w:line="257" w:lineRule="exact" w:before="51"/>
              <w:ind w:left="83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DESCONTO</w:t>
            </w:r>
          </w:p>
        </w:tc>
      </w:tr>
      <w:tr>
        <w:trPr>
          <w:trHeight w:val="940" w:hRule="atLeast"/>
        </w:trPr>
        <w:tc>
          <w:tcPr>
            <w:tcW w:w="3085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ÚNICA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VISTA)</w:t>
            </w:r>
          </w:p>
        </w:tc>
        <w:tc>
          <w:tcPr>
            <w:tcW w:w="3085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pacing w:val="-2"/>
                <w:sz w:val="22"/>
              </w:rPr>
              <w:t>13/02/2026</w:t>
            </w:r>
          </w:p>
        </w:tc>
        <w:tc>
          <w:tcPr>
            <w:tcW w:w="3070" w:type="dxa"/>
          </w:tcPr>
          <w:p>
            <w:pPr>
              <w:pStyle w:val="TableParagraph"/>
              <w:spacing w:line="196" w:lineRule="auto" w:before="38"/>
              <w:ind w:right="12"/>
              <w:jc w:val="both"/>
              <w:rPr>
                <w:sz w:val="22"/>
              </w:rPr>
            </w:pPr>
            <w:r>
              <w:rPr>
                <w:sz w:val="22"/>
              </w:rPr>
              <w:t>15% (caso o contribuinte não tenha nenhum débito vencido, dívida ativa ou parcelamento de dívida ativa)</w:t>
            </w:r>
          </w:p>
        </w:tc>
      </w:tr>
      <w:tr>
        <w:trPr>
          <w:trHeight w:val="720" w:hRule="atLeast"/>
        </w:trPr>
        <w:tc>
          <w:tcPr>
            <w:tcW w:w="3085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ÚNICA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VISTA)</w:t>
            </w:r>
          </w:p>
        </w:tc>
        <w:tc>
          <w:tcPr>
            <w:tcW w:w="3085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pacing w:val="-2"/>
                <w:sz w:val="22"/>
              </w:rPr>
              <w:t>13/02/2026</w:t>
            </w:r>
          </w:p>
        </w:tc>
        <w:tc>
          <w:tcPr>
            <w:tcW w:w="3070" w:type="dxa"/>
          </w:tcPr>
          <w:p>
            <w:pPr>
              <w:pStyle w:val="TableParagraph"/>
              <w:spacing w:line="196" w:lineRule="auto" w:before="38"/>
              <w:ind w:right="12"/>
              <w:jc w:val="both"/>
              <w:rPr>
                <w:sz w:val="22"/>
              </w:rPr>
            </w:pPr>
            <w:r>
              <w:rPr>
                <w:sz w:val="22"/>
              </w:rPr>
              <w:t>10% (caso o contribuinte tenha débito vencido, dívida ativa ou parcelamento de dívida ativa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ÚNICA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VISTA)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16/03/2026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5%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situação)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16/03/2026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15/04/2026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3ª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15/05/2026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4ª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15/06/2026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5ª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15/07/2026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6ª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17/08/2026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7ª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15/09/2026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8ª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15/10/2026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9ª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16/11/2026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10ª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PARCELA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PRAZO)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15/12/2026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descontos</w:t>
            </w:r>
          </w:p>
        </w:tc>
      </w:tr>
    </w:tbl>
    <w:p>
      <w:pPr>
        <w:pStyle w:val="BodyText"/>
        <w:spacing w:before="58"/>
      </w:pPr>
    </w:p>
    <w:p>
      <w:pPr>
        <w:pStyle w:val="BodyText"/>
        <w:spacing w:line="196" w:lineRule="auto"/>
        <w:ind w:left="57" w:right="888" w:firstLine="165"/>
        <w:jc w:val="both"/>
      </w:pPr>
      <w:r>
        <w:rPr/>
        <w:t>Art. 3º Os descontos e parcelas referentes à imóveis multipropriedade e box com matrículas individualizadas se darão da seguinte forma:</w:t>
      </w:r>
    </w:p>
    <w:p>
      <w:pPr>
        <w:pStyle w:val="BodyText"/>
        <w:spacing w:before="67"/>
        <w:rPr>
          <w:sz w:val="20"/>
        </w:rPr>
      </w:pP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85"/>
        <w:gridCol w:w="3085"/>
        <w:gridCol w:w="3070"/>
      </w:tblGrid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ind w:left="0" w:right="77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N°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> PARCELAS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DATA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VENCIMENTO</w:t>
            </w:r>
          </w:p>
        </w:tc>
        <w:tc>
          <w:tcPr>
            <w:tcW w:w="3070" w:type="dxa"/>
          </w:tcPr>
          <w:p>
            <w:pPr>
              <w:pStyle w:val="TableParagraph"/>
              <w:ind w:left="29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DESCONTO</w:t>
            </w:r>
          </w:p>
        </w:tc>
      </w:tr>
      <w:tr>
        <w:trPr>
          <w:trHeight w:val="279" w:hRule="atLeast"/>
        </w:trPr>
        <w:tc>
          <w:tcPr>
            <w:tcW w:w="3085" w:type="dxa"/>
          </w:tcPr>
          <w:p>
            <w:pPr>
              <w:pStyle w:val="TableParagraph"/>
              <w:ind w:left="0" w:right="769"/>
              <w:jc w:val="right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ÚNICA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VISTA)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13/02/2026</w:t>
            </w:r>
          </w:p>
        </w:tc>
        <w:tc>
          <w:tcPr>
            <w:tcW w:w="3070" w:type="dxa"/>
          </w:tcPr>
          <w:p>
            <w:pPr>
              <w:pStyle w:val="TableParagraph"/>
              <w:ind w:left="29"/>
              <w:jc w:val="center"/>
              <w:rPr>
                <w:sz w:val="22"/>
              </w:rPr>
            </w:pPr>
            <w:r>
              <w:rPr>
                <w:sz w:val="22"/>
              </w:rPr>
              <w:t>15%</w:t>
            </w:r>
            <w:r>
              <w:rPr>
                <w:spacing w:val="67"/>
                <w:w w:val="150"/>
                <w:sz w:val="22"/>
              </w:rPr>
              <w:t> </w:t>
            </w:r>
            <w:r>
              <w:rPr>
                <w:sz w:val="22"/>
              </w:rPr>
              <w:t>(caso</w:t>
            </w:r>
            <w:r>
              <w:rPr>
                <w:spacing w:val="68"/>
                <w:w w:val="150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68"/>
                <w:w w:val="150"/>
                <w:sz w:val="22"/>
              </w:rPr>
              <w:t> </w:t>
            </w:r>
            <w:r>
              <w:rPr>
                <w:sz w:val="22"/>
              </w:rPr>
              <w:t>contribuinte</w:t>
            </w:r>
            <w:r>
              <w:rPr>
                <w:spacing w:val="68"/>
                <w:w w:val="150"/>
                <w:sz w:val="22"/>
              </w:rPr>
              <w:t> </w:t>
            </w:r>
            <w:r>
              <w:rPr>
                <w:spacing w:val="-5"/>
                <w:sz w:val="22"/>
              </w:rPr>
              <w:t>não</w:t>
            </w:r>
          </w:p>
        </w:tc>
      </w:tr>
    </w:tbl>
    <w:p>
      <w:pPr>
        <w:pStyle w:val="TableParagraph"/>
        <w:spacing w:after="0"/>
        <w:jc w:val="center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10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1" simplePos="0" relativeHeight="487446528">
            <wp:simplePos x="0" y="0"/>
            <wp:positionH relativeFrom="page">
              <wp:posOffset>829564</wp:posOffset>
            </wp:positionH>
            <wp:positionV relativeFrom="page">
              <wp:posOffset>9023562</wp:posOffset>
            </wp:positionV>
            <wp:extent cx="2031999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85"/>
        <w:gridCol w:w="3085"/>
        <w:gridCol w:w="3070"/>
      </w:tblGrid>
      <w:tr>
        <w:trPr>
          <w:trHeight w:val="720" w:hRule="atLeast"/>
        </w:trPr>
        <w:tc>
          <w:tcPr>
            <w:tcW w:w="308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085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spacing w:line="196" w:lineRule="auto" w:before="38"/>
              <w:ind w:right="12"/>
              <w:jc w:val="both"/>
              <w:rPr>
                <w:sz w:val="22"/>
              </w:rPr>
            </w:pPr>
            <w:r>
              <w:rPr>
                <w:sz w:val="22"/>
              </w:rPr>
              <w:t>tenha nenhum débito vencido, dívida ativa ou parcelamento de dívida ativa)</w:t>
            </w:r>
          </w:p>
        </w:tc>
      </w:tr>
      <w:tr>
        <w:trPr>
          <w:trHeight w:val="720" w:hRule="atLeast"/>
        </w:trPr>
        <w:tc>
          <w:tcPr>
            <w:tcW w:w="3085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z w:val="22"/>
              </w:rPr>
              <w:t>1ª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ÚNICA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VISTA)</w:t>
            </w:r>
          </w:p>
        </w:tc>
        <w:tc>
          <w:tcPr>
            <w:tcW w:w="3085" w:type="dxa"/>
          </w:tcPr>
          <w:p>
            <w:pPr>
              <w:pStyle w:val="TableParagraph"/>
              <w:spacing w:line="240" w:lineRule="auto"/>
              <w:rPr>
                <w:sz w:val="22"/>
              </w:rPr>
            </w:pPr>
            <w:r>
              <w:rPr>
                <w:spacing w:val="-2"/>
                <w:sz w:val="22"/>
              </w:rPr>
              <w:t>13/02/2026</w:t>
            </w:r>
          </w:p>
        </w:tc>
        <w:tc>
          <w:tcPr>
            <w:tcW w:w="3070" w:type="dxa"/>
          </w:tcPr>
          <w:p>
            <w:pPr>
              <w:pStyle w:val="TableParagraph"/>
              <w:spacing w:line="196" w:lineRule="auto" w:before="38"/>
              <w:ind w:right="12"/>
              <w:jc w:val="both"/>
              <w:rPr>
                <w:sz w:val="22"/>
              </w:rPr>
            </w:pPr>
            <w:r>
              <w:rPr>
                <w:sz w:val="22"/>
              </w:rPr>
              <w:t>10% (caso o contribuinte tenha débito vencido, dívida ativa ou parcelamento de dívida ativa)</w:t>
            </w:r>
          </w:p>
        </w:tc>
      </w:tr>
      <w:tr>
        <w:trPr>
          <w:trHeight w:val="280" w:hRule="atLeast"/>
        </w:trPr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2ª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ÚNICA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(À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VISTA</w:t>
            </w:r>
          </w:p>
        </w:tc>
        <w:tc>
          <w:tcPr>
            <w:tcW w:w="3085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16/03/2026</w:t>
            </w:r>
          </w:p>
        </w:tc>
        <w:tc>
          <w:tcPr>
            <w:tcW w:w="307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5%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qualquer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situação</w:t>
            </w:r>
          </w:p>
        </w:tc>
      </w:tr>
    </w:tbl>
    <w:p>
      <w:pPr>
        <w:pStyle w:val="BodyText"/>
        <w:spacing w:before="58"/>
      </w:pPr>
    </w:p>
    <w:p>
      <w:pPr>
        <w:pStyle w:val="BodyText"/>
        <w:spacing w:line="196" w:lineRule="auto"/>
        <w:ind w:left="57" w:right="890" w:firstLine="130"/>
        <w:jc w:val="both"/>
      </w:pPr>
      <w:r>
        <w:rPr/>
        <w:t>Parágrafo único. Em casos excepcionais, poderá ser concedido parcelamento do Imposto Predial e Territorial Urbano (IPTU) e Taxa de Lixo e Lixo Verde para imóveis multipropriedade e boxes com matrículas individualizadas, mediante requerimento formal do contribuinte através de protocolo endereçado à Secretaria Municipal da Fazenda, desde que respeitados os seguintes critérios:</w:t>
      </w:r>
    </w:p>
    <w:p>
      <w:pPr>
        <w:pStyle w:val="BodyText"/>
        <w:spacing w:before="182"/>
        <w:ind w:left="57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204535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I</w:t>
      </w:r>
      <w:r>
        <w:rPr>
          <w:spacing w:val="-5"/>
        </w:rPr>
        <w:t> </w:t>
      </w:r>
      <w:r>
        <w:rPr/>
        <w:t>-</w:t>
      </w:r>
      <w:r>
        <w:rPr>
          <w:spacing w:val="-3"/>
        </w:rPr>
        <w:t> </w:t>
      </w:r>
      <w:r>
        <w:rPr/>
        <w:t>Imóveis</w:t>
      </w:r>
      <w:r>
        <w:rPr>
          <w:spacing w:val="-3"/>
        </w:rPr>
        <w:t> </w:t>
      </w:r>
      <w:r>
        <w:rPr>
          <w:spacing w:val="-2"/>
        </w:rPr>
        <w:t>multipropriedade:</w:t>
      </w:r>
    </w:p>
    <w:p>
      <w:pPr>
        <w:pStyle w:val="ListParagraph"/>
        <w:numPr>
          <w:ilvl w:val="0"/>
          <w:numId w:val="1"/>
        </w:numPr>
        <w:tabs>
          <w:tab w:pos="276" w:val="left" w:leader="none"/>
        </w:tabs>
        <w:spacing w:line="240" w:lineRule="auto" w:before="171" w:after="0"/>
        <w:ind w:left="276" w:right="0" w:hanging="219"/>
        <w:jc w:val="left"/>
        <w:rPr>
          <w:sz w:val="22"/>
        </w:rPr>
      </w:pPr>
      <w:r>
        <w:rPr>
          <w:sz w:val="22"/>
        </w:rPr>
        <w:t>Imóveis</w:t>
      </w:r>
      <w:r>
        <w:rPr>
          <w:spacing w:val="-6"/>
          <w:sz w:val="22"/>
        </w:rPr>
        <w:t> </w:t>
      </w:r>
      <w:r>
        <w:rPr>
          <w:sz w:val="22"/>
        </w:rPr>
        <w:t>na</w:t>
      </w:r>
      <w:r>
        <w:rPr>
          <w:spacing w:val="-6"/>
          <w:sz w:val="22"/>
        </w:rPr>
        <w:t> </w:t>
      </w:r>
      <w:r>
        <w:rPr>
          <w:sz w:val="22"/>
        </w:rPr>
        <w:t>titularidade</w:t>
      </w:r>
      <w:r>
        <w:rPr>
          <w:spacing w:val="-6"/>
          <w:sz w:val="22"/>
        </w:rPr>
        <w:t> </w:t>
      </w:r>
      <w:r>
        <w:rPr>
          <w:sz w:val="22"/>
        </w:rPr>
        <w:t>do</w:t>
      </w:r>
      <w:r>
        <w:rPr>
          <w:spacing w:val="-6"/>
          <w:sz w:val="22"/>
        </w:rPr>
        <w:t> </w:t>
      </w:r>
      <w:r>
        <w:rPr>
          <w:sz w:val="22"/>
        </w:rPr>
        <w:t>instituidor</w:t>
      </w:r>
      <w:r>
        <w:rPr>
          <w:spacing w:val="-6"/>
          <w:sz w:val="22"/>
        </w:rPr>
        <w:t> </w:t>
      </w:r>
      <w:r>
        <w:rPr>
          <w:sz w:val="22"/>
        </w:rPr>
        <w:t>do</w:t>
      </w:r>
      <w:r>
        <w:rPr>
          <w:spacing w:val="-6"/>
          <w:sz w:val="22"/>
        </w:rPr>
        <w:t> </w:t>
      </w:r>
      <w:r>
        <w:rPr>
          <w:sz w:val="22"/>
        </w:rPr>
        <w:t>condomínio</w:t>
      </w:r>
      <w:r>
        <w:rPr>
          <w:spacing w:val="-6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multipropriedade;</w:t>
      </w:r>
    </w:p>
    <w:p>
      <w:pPr>
        <w:pStyle w:val="ListParagraph"/>
        <w:numPr>
          <w:ilvl w:val="0"/>
          <w:numId w:val="1"/>
        </w:numPr>
        <w:tabs>
          <w:tab w:pos="287" w:val="left" w:leader="none"/>
        </w:tabs>
        <w:spacing w:line="393" w:lineRule="auto" w:before="172" w:after="0"/>
        <w:ind w:left="57" w:right="3503" w:firstLine="0"/>
        <w:jc w:val="left"/>
        <w:rPr>
          <w:sz w:val="22"/>
        </w:rPr>
      </w:pPr>
      <w:r>
        <w:rPr>
          <w:sz w:val="22"/>
        </w:rPr>
        <w:t>Limite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z w:val="22"/>
        </w:rPr>
        <w:t>até</w:t>
      </w:r>
      <w:r>
        <w:rPr>
          <w:spacing w:val="-3"/>
          <w:sz w:val="22"/>
        </w:rPr>
        <w:t> </w:t>
      </w:r>
      <w:r>
        <w:rPr>
          <w:sz w:val="22"/>
        </w:rPr>
        <w:t>10</w:t>
      </w:r>
      <w:r>
        <w:rPr>
          <w:spacing w:val="-3"/>
          <w:sz w:val="22"/>
        </w:rPr>
        <w:t> </w:t>
      </w:r>
      <w:r>
        <w:rPr>
          <w:sz w:val="22"/>
        </w:rPr>
        <w:t>(dez)</w:t>
      </w:r>
      <w:r>
        <w:rPr>
          <w:spacing w:val="-3"/>
          <w:sz w:val="22"/>
        </w:rPr>
        <w:t> </w:t>
      </w:r>
      <w:r>
        <w:rPr>
          <w:sz w:val="22"/>
        </w:rPr>
        <w:t>parcelas,</w:t>
      </w:r>
      <w:r>
        <w:rPr>
          <w:spacing w:val="-3"/>
          <w:sz w:val="22"/>
        </w:rPr>
        <w:t> </w:t>
      </w:r>
      <w:r>
        <w:rPr>
          <w:sz w:val="22"/>
        </w:rPr>
        <w:t>conforme</w:t>
      </w:r>
      <w:r>
        <w:rPr>
          <w:spacing w:val="-3"/>
          <w:sz w:val="22"/>
        </w:rPr>
        <w:t> </w:t>
      </w:r>
      <w:r>
        <w:rPr>
          <w:sz w:val="22"/>
        </w:rPr>
        <w:t>os</w:t>
      </w:r>
      <w:r>
        <w:rPr>
          <w:spacing w:val="-3"/>
          <w:sz w:val="22"/>
        </w:rPr>
        <w:t> </w:t>
      </w:r>
      <w:r>
        <w:rPr>
          <w:sz w:val="22"/>
        </w:rPr>
        <w:t>prazos</w:t>
      </w:r>
      <w:r>
        <w:rPr>
          <w:spacing w:val="-3"/>
          <w:sz w:val="22"/>
        </w:rPr>
        <w:t> </w:t>
      </w:r>
      <w:r>
        <w:rPr>
          <w:sz w:val="22"/>
        </w:rPr>
        <w:t>definidos</w:t>
      </w:r>
      <w:r>
        <w:rPr>
          <w:spacing w:val="-3"/>
          <w:sz w:val="22"/>
        </w:rPr>
        <w:t> </w:t>
      </w:r>
      <w:r>
        <w:rPr>
          <w:sz w:val="22"/>
        </w:rPr>
        <w:t>no</w:t>
      </w:r>
      <w:r>
        <w:rPr>
          <w:spacing w:val="-3"/>
          <w:sz w:val="22"/>
        </w:rPr>
        <w:t> </w:t>
      </w:r>
      <w:r>
        <w:rPr>
          <w:sz w:val="22"/>
        </w:rPr>
        <w:t>art.</w:t>
      </w:r>
      <w:r>
        <w:rPr>
          <w:spacing w:val="-3"/>
          <w:sz w:val="22"/>
        </w:rPr>
        <w:t> </w:t>
      </w:r>
      <w:r>
        <w:rPr>
          <w:sz w:val="22"/>
        </w:rPr>
        <w:t>2º. II – Boxes com matrículas individualizadas:</w:t>
      </w:r>
    </w:p>
    <w:p>
      <w:pPr>
        <w:pStyle w:val="ListParagraph"/>
        <w:numPr>
          <w:ilvl w:val="0"/>
          <w:numId w:val="2"/>
        </w:numPr>
        <w:tabs>
          <w:tab w:pos="276" w:val="left" w:leader="none"/>
        </w:tabs>
        <w:spacing w:line="268" w:lineRule="exact" w:before="0" w:after="0"/>
        <w:ind w:left="276" w:right="0" w:hanging="219"/>
        <w:jc w:val="left"/>
        <w:rPr>
          <w:sz w:val="22"/>
        </w:rPr>
      </w:pPr>
      <w:r>
        <w:rPr>
          <w:sz w:val="22"/>
        </w:rPr>
        <w:t>Box</w:t>
      </w:r>
      <w:r>
        <w:rPr>
          <w:spacing w:val="-3"/>
          <w:sz w:val="22"/>
        </w:rPr>
        <w:t> </w:t>
      </w:r>
      <w:r>
        <w:rPr>
          <w:sz w:val="22"/>
        </w:rPr>
        <w:t>com</w:t>
      </w:r>
      <w:r>
        <w:rPr>
          <w:spacing w:val="-3"/>
          <w:sz w:val="22"/>
        </w:rPr>
        <w:t> </w:t>
      </w:r>
      <w:r>
        <w:rPr>
          <w:sz w:val="22"/>
        </w:rPr>
        <w:t>área</w:t>
      </w:r>
      <w:r>
        <w:rPr>
          <w:spacing w:val="-3"/>
          <w:sz w:val="22"/>
        </w:rPr>
        <w:t> </w:t>
      </w:r>
      <w:r>
        <w:rPr>
          <w:sz w:val="22"/>
        </w:rPr>
        <w:t>superior</w:t>
      </w:r>
      <w:r>
        <w:rPr>
          <w:spacing w:val="-3"/>
          <w:sz w:val="22"/>
        </w:rPr>
        <w:t> </w:t>
      </w:r>
      <w:r>
        <w:rPr>
          <w:sz w:val="22"/>
        </w:rPr>
        <w:t>à</w:t>
      </w:r>
      <w:r>
        <w:rPr>
          <w:spacing w:val="-3"/>
          <w:sz w:val="22"/>
        </w:rPr>
        <w:t> </w:t>
      </w:r>
      <w:r>
        <w:rPr>
          <w:sz w:val="22"/>
        </w:rPr>
        <w:t>30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m²;</w:t>
      </w:r>
    </w:p>
    <w:p>
      <w:pPr>
        <w:pStyle w:val="ListParagraph"/>
        <w:numPr>
          <w:ilvl w:val="0"/>
          <w:numId w:val="2"/>
        </w:numPr>
        <w:tabs>
          <w:tab w:pos="287" w:val="left" w:leader="none"/>
        </w:tabs>
        <w:spacing w:line="240" w:lineRule="auto" w:before="171" w:after="0"/>
        <w:ind w:left="287" w:right="0" w:hanging="230"/>
        <w:jc w:val="left"/>
        <w:rPr>
          <w:sz w:val="22"/>
        </w:rPr>
      </w:pPr>
      <w:r>
        <w:rPr>
          <w:sz w:val="22"/>
        </w:rPr>
        <w:t>Limite</w:t>
      </w:r>
      <w:r>
        <w:rPr>
          <w:spacing w:val="-7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até</w:t>
      </w:r>
      <w:r>
        <w:rPr>
          <w:spacing w:val="-5"/>
          <w:sz w:val="22"/>
        </w:rPr>
        <w:t> </w:t>
      </w:r>
      <w:r>
        <w:rPr>
          <w:sz w:val="22"/>
        </w:rPr>
        <w:t>5</w:t>
      </w:r>
      <w:r>
        <w:rPr>
          <w:spacing w:val="-5"/>
          <w:sz w:val="22"/>
        </w:rPr>
        <w:t> </w:t>
      </w:r>
      <w:r>
        <w:rPr>
          <w:sz w:val="22"/>
        </w:rPr>
        <w:t>(cinco)</w:t>
      </w:r>
      <w:r>
        <w:rPr>
          <w:spacing w:val="-5"/>
          <w:sz w:val="22"/>
        </w:rPr>
        <w:t> </w:t>
      </w:r>
      <w:r>
        <w:rPr>
          <w:sz w:val="22"/>
        </w:rPr>
        <w:t>parcelas,</w:t>
      </w:r>
      <w:r>
        <w:rPr>
          <w:spacing w:val="-5"/>
          <w:sz w:val="22"/>
        </w:rPr>
        <w:t> </w:t>
      </w:r>
      <w:r>
        <w:rPr>
          <w:sz w:val="22"/>
        </w:rPr>
        <w:t>conforme</w:t>
      </w:r>
      <w:r>
        <w:rPr>
          <w:spacing w:val="-5"/>
          <w:sz w:val="22"/>
        </w:rPr>
        <w:t> </w:t>
      </w:r>
      <w:r>
        <w:rPr>
          <w:sz w:val="22"/>
        </w:rPr>
        <w:t>os</w:t>
      </w:r>
      <w:r>
        <w:rPr>
          <w:spacing w:val="-5"/>
          <w:sz w:val="22"/>
        </w:rPr>
        <w:t> </w:t>
      </w:r>
      <w:r>
        <w:rPr>
          <w:sz w:val="22"/>
        </w:rPr>
        <w:t>prazos</w:t>
      </w:r>
      <w:r>
        <w:rPr>
          <w:spacing w:val="-5"/>
          <w:sz w:val="22"/>
        </w:rPr>
        <w:t> </w:t>
      </w:r>
      <w:r>
        <w:rPr>
          <w:sz w:val="22"/>
        </w:rPr>
        <w:t>definidos</w:t>
      </w:r>
      <w:r>
        <w:rPr>
          <w:spacing w:val="-5"/>
          <w:sz w:val="22"/>
        </w:rPr>
        <w:t> </w:t>
      </w:r>
      <w:r>
        <w:rPr>
          <w:sz w:val="22"/>
        </w:rPr>
        <w:t>no</w:t>
      </w:r>
      <w:r>
        <w:rPr>
          <w:spacing w:val="-5"/>
          <w:sz w:val="22"/>
        </w:rPr>
        <w:t> </w:t>
      </w:r>
      <w:r>
        <w:rPr>
          <w:sz w:val="22"/>
        </w:rPr>
        <w:t>art.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2º.</w:t>
      </w:r>
    </w:p>
    <w:p>
      <w:pPr>
        <w:pStyle w:val="BodyText"/>
        <w:spacing w:line="196" w:lineRule="auto" w:before="209"/>
        <w:ind w:left="57" w:right="888" w:firstLine="133"/>
        <w:jc w:val="both"/>
      </w:pPr>
      <w:r>
        <w:rPr/>
        <w:t>Art. 4º Ocorrendo vencimento das parcelas acima referidas em finais de semana ou feriados, fica automaticamente prorrogado o vencimento para o primeiro dia útil subsequente.</w:t>
      </w:r>
    </w:p>
    <w:p>
      <w:pPr>
        <w:pStyle w:val="BodyText"/>
        <w:spacing w:line="196" w:lineRule="auto" w:before="220"/>
        <w:ind w:left="57" w:right="890" w:firstLine="123"/>
        <w:jc w:val="both"/>
      </w:pPr>
      <w:r>
        <w:rPr/>
        <w:t>Art. 5º Em caso de atraso no pagamento do IPTU e Taxa de Coleta de Lixo e Lixo Verde, nas datas definidas nesta Lei, incidirá sobre o valor principal, até a data do efetivo pagamento, correção monetária, juros e multa conforme disposto na Lei nº 2.158, de 18 de dezembro de 2023 – Código Tributário Municipal.</w:t>
      </w:r>
    </w:p>
    <w:p>
      <w:pPr>
        <w:pStyle w:val="BodyText"/>
        <w:spacing w:line="196" w:lineRule="auto" w:before="219"/>
        <w:ind w:left="57" w:right="889" w:firstLine="154"/>
      </w:pPr>
      <w:r>
        <w:rPr/>
        <w:t>Art.</w:t>
      </w:r>
      <w:r>
        <w:rPr>
          <w:spacing w:val="40"/>
        </w:rPr>
        <w:t> </w:t>
      </w:r>
      <w:r>
        <w:rPr/>
        <w:t>6º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Poder</w:t>
      </w:r>
      <w:r>
        <w:rPr>
          <w:spacing w:val="40"/>
        </w:rPr>
        <w:t> </w:t>
      </w:r>
      <w:r>
        <w:rPr/>
        <w:t>Executivo</w:t>
      </w:r>
      <w:r>
        <w:rPr>
          <w:spacing w:val="40"/>
        </w:rPr>
        <w:t> </w:t>
      </w:r>
      <w:r>
        <w:rPr/>
        <w:t>poderá</w:t>
      </w:r>
      <w:r>
        <w:rPr>
          <w:spacing w:val="40"/>
        </w:rPr>
        <w:t> </w:t>
      </w:r>
      <w:r>
        <w:rPr/>
        <w:t>postergar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data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vencimento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cota</w:t>
      </w:r>
      <w:r>
        <w:rPr>
          <w:spacing w:val="40"/>
        </w:rPr>
        <w:t> </w:t>
      </w:r>
      <w:r>
        <w:rPr/>
        <w:t>única,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Decreto </w:t>
      </w:r>
      <w:r>
        <w:rPr>
          <w:spacing w:val="-2"/>
        </w:rPr>
        <w:t>Municipal.</w:t>
      </w:r>
    </w:p>
    <w:p>
      <w:pPr>
        <w:pStyle w:val="BodyText"/>
        <w:spacing w:line="393" w:lineRule="auto" w:before="182"/>
        <w:ind w:left="156" w:right="3321"/>
      </w:pPr>
      <w:r>
        <w:rPr/>
        <w:t>Art.</w:t>
      </w:r>
      <w:r>
        <w:rPr>
          <w:spacing w:val="-4"/>
        </w:rPr>
        <w:t> </w:t>
      </w:r>
      <w:r>
        <w:rPr/>
        <w:t>7º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Poder</w:t>
      </w:r>
      <w:r>
        <w:rPr>
          <w:spacing w:val="-4"/>
        </w:rPr>
        <w:t> </w:t>
      </w:r>
      <w:r>
        <w:rPr/>
        <w:t>Executivo</w:t>
      </w:r>
      <w:r>
        <w:rPr>
          <w:spacing w:val="-4"/>
        </w:rPr>
        <w:t> </w:t>
      </w:r>
      <w:r>
        <w:rPr/>
        <w:t>regulamentará,</w:t>
      </w:r>
      <w:r>
        <w:rPr>
          <w:spacing w:val="-4"/>
        </w:rPr>
        <w:t> </w:t>
      </w:r>
      <w:r>
        <w:rPr/>
        <w:t>no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couber,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presente</w:t>
      </w:r>
      <w:r>
        <w:rPr>
          <w:spacing w:val="-4"/>
        </w:rPr>
        <w:t> </w:t>
      </w:r>
      <w:r>
        <w:rPr/>
        <w:t>Lei. Art. 8º Esta lei entra em vigor na data de sua publicação.</w:t>
      </w:r>
    </w:p>
    <w:p>
      <w:pPr>
        <w:pStyle w:val="BodyText"/>
        <w:spacing w:before="149"/>
      </w:pPr>
    </w:p>
    <w:p>
      <w:pPr>
        <w:pStyle w:val="BodyText"/>
        <w:ind w:left="3102"/>
      </w:pPr>
      <w:r>
        <w:rPr/>
        <w:drawing>
          <wp:anchor distT="0" distB="0" distL="0" distR="0" allowOverlap="1" layoutInCell="1" locked="0" behindDoc="1" simplePos="0" relativeHeight="487447552">
            <wp:simplePos x="0" y="0"/>
            <wp:positionH relativeFrom="page">
              <wp:posOffset>3178556</wp:posOffset>
            </wp:positionH>
            <wp:positionV relativeFrom="paragraph">
              <wp:posOffset>109055</wp:posOffset>
            </wp:positionV>
            <wp:extent cx="2032000" cy="67741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11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spacing w:line="232" w:lineRule="auto" w:before="0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4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447040">
            <wp:simplePos x="0" y="0"/>
            <wp:positionH relativeFrom="page">
              <wp:posOffset>3365203</wp:posOffset>
            </wp:positionH>
            <wp:positionV relativeFrom="paragraph">
              <wp:posOffset>140797</wp:posOffset>
            </wp:positionV>
            <wp:extent cx="2032000" cy="677417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25"/>
        <w:rPr>
          <w:rFonts w:ascii="Arial"/>
          <w:b/>
          <w:sz w:val="20"/>
        </w:rPr>
      </w:pPr>
    </w:p>
    <w:p>
      <w:pPr>
        <w:tabs>
          <w:tab w:pos="4485" w:val="left" w:leader="none"/>
          <w:tab w:pos="5275" w:val="left" w:leader="none"/>
        </w:tabs>
        <w:spacing w:line="199" w:lineRule="auto" w:before="1"/>
        <w:ind w:left="57" w:right="2187" w:firstLine="0"/>
        <w:jc w:val="left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 do Município</w:t>
        <w:tab/>
        <w:t>Secretária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528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869952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45504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016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870464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)"/>
      <w:lvlJc w:val="left"/>
      <w:pPr>
        <w:ind w:left="279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6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5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3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2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0" w:hanging="222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279" w:hanging="222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2" w:hanging="222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65" w:hanging="222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57" w:hanging="222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0" w:hanging="22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42" w:hanging="22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35" w:hanging="22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27" w:hanging="22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0" w:hanging="222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71"/>
      <w:ind w:left="276" w:hanging="21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0" w:lineRule="exact"/>
      <w:ind w:left="44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2025-12-23T14:04:13Z</dcterms:created>
  <dcterms:modified xsi:type="dcterms:W3CDTF">2025-12-23T14:04:13Z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