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spacing w:before="80"/>
        <w:rPr>
          <w:rFonts w:ascii="Times New Roman"/>
        </w:rPr>
      </w:pPr>
    </w:p>
    <w:p>
      <w:pPr>
        <w:spacing w:before="1"/>
        <w:ind w:left="2183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4479,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13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DEZEMBRO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pacing w:val="-2"/>
          <w:sz w:val="24"/>
        </w:rPr>
        <w:t>2025.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15"/>
        <w:rPr>
          <w:rFonts w:ascii="Arial"/>
          <w:b/>
        </w:rPr>
      </w:pPr>
    </w:p>
    <w:p>
      <w:pPr>
        <w:pStyle w:val="BodyText"/>
        <w:spacing w:line="196" w:lineRule="auto"/>
        <w:ind w:left="4715" w:right="938"/>
        <w:jc w:val="both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7217155</wp:posOffset>
            </wp:positionH>
            <wp:positionV relativeFrom="paragraph">
              <wp:posOffset>1056380</wp:posOffset>
            </wp:positionV>
            <wp:extent cx="342900" cy="3616043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Autoriza a concessão de subsídio tarifário ao serviço público de transporte coletivo urbano de passageiros para a empresa prestadora do serviço no município de Gramado e dá outras </w:t>
      </w:r>
      <w:r>
        <w:rPr>
          <w:spacing w:val="-2"/>
        </w:rPr>
        <w:t>providências.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5"/>
      </w:pPr>
    </w:p>
    <w:p>
      <w:pPr>
        <w:pStyle w:val="BodyText"/>
        <w:spacing w:line="189" w:lineRule="auto"/>
        <w:ind w:left="58" w:right="889"/>
      </w:pPr>
      <w:r>
        <w:rPr>
          <w:b/>
        </w:rPr>
        <w:t>O</w:t>
      </w:r>
      <w:r>
        <w:rPr>
          <w:b/>
          <w:spacing w:val="34"/>
        </w:rPr>
        <w:t> </w:t>
      </w:r>
      <w:r>
        <w:rPr>
          <w:b/>
        </w:rPr>
        <w:t>PREFEITO</w:t>
      </w:r>
      <w:r>
        <w:rPr>
          <w:b/>
          <w:spacing w:val="34"/>
        </w:rPr>
        <w:t> </w:t>
      </w:r>
      <w:r>
        <w:rPr>
          <w:b/>
        </w:rPr>
        <w:t>DE</w:t>
      </w:r>
      <w:r>
        <w:rPr>
          <w:b/>
          <w:spacing w:val="34"/>
        </w:rPr>
        <w:t> </w:t>
      </w:r>
      <w:r>
        <w:rPr>
          <w:b/>
        </w:rPr>
        <w:t>GRAMADO,</w:t>
      </w:r>
      <w:r>
        <w:rPr>
          <w:b/>
          <w:spacing w:val="40"/>
        </w:rPr>
        <w:t> </w:t>
      </w:r>
      <w:r>
        <w:rPr/>
        <w:t>no</w:t>
      </w:r>
      <w:r>
        <w:rPr>
          <w:spacing w:val="34"/>
        </w:rPr>
        <w:t> </w:t>
      </w:r>
      <w:r>
        <w:rPr/>
        <w:t>uso</w:t>
      </w:r>
      <w:r>
        <w:rPr>
          <w:spacing w:val="34"/>
        </w:rPr>
        <w:t> </w:t>
      </w:r>
      <w:r>
        <w:rPr/>
        <w:t>de</w:t>
      </w:r>
      <w:r>
        <w:rPr>
          <w:spacing w:val="34"/>
        </w:rPr>
        <w:t> </w:t>
      </w:r>
      <w:r>
        <w:rPr/>
        <w:t>suas</w:t>
      </w:r>
      <w:r>
        <w:rPr>
          <w:spacing w:val="34"/>
        </w:rPr>
        <w:t> </w:t>
      </w:r>
      <w:r>
        <w:rPr/>
        <w:t>atribuições</w:t>
      </w:r>
      <w:r>
        <w:rPr>
          <w:spacing w:val="34"/>
        </w:rPr>
        <w:t> </w:t>
      </w:r>
      <w:r>
        <w:rPr/>
        <w:t>legais,</w:t>
      </w:r>
      <w:r>
        <w:rPr>
          <w:spacing w:val="34"/>
        </w:rPr>
        <w:t> </w:t>
      </w:r>
      <w:r>
        <w:rPr/>
        <w:t>FAÇO</w:t>
      </w:r>
      <w:r>
        <w:rPr>
          <w:spacing w:val="34"/>
        </w:rPr>
        <w:t> </w:t>
      </w:r>
      <w:r>
        <w:rPr/>
        <w:t>SABER,</w:t>
      </w:r>
      <w:r>
        <w:rPr>
          <w:spacing w:val="34"/>
        </w:rPr>
        <w:t> </w:t>
      </w:r>
      <w:r>
        <w:rPr/>
        <w:t>que</w:t>
      </w:r>
      <w:r>
        <w:rPr>
          <w:spacing w:val="34"/>
        </w:rPr>
        <w:t> </w:t>
      </w:r>
      <w:r>
        <w:rPr/>
        <w:t>a</w:t>
      </w:r>
      <w:r>
        <w:rPr>
          <w:spacing w:val="34"/>
        </w:rPr>
        <w:t> </w:t>
      </w:r>
      <w:r>
        <w:rPr/>
        <w:t>Câmara Municipal de Vereadores aprovou e eu sanciono e promulgo a seguinte Lei:</w:t>
      </w:r>
    </w:p>
    <w:p>
      <w:pPr>
        <w:pStyle w:val="BodyText"/>
      </w:pPr>
    </w:p>
    <w:p>
      <w:pPr>
        <w:pStyle w:val="BodyText"/>
        <w:spacing w:before="93"/>
      </w:pPr>
    </w:p>
    <w:p>
      <w:pPr>
        <w:pStyle w:val="BodyText"/>
        <w:spacing w:line="194" w:lineRule="auto"/>
        <w:ind w:left="58" w:right="888" w:firstLine="199"/>
        <w:jc w:val="both"/>
      </w:pPr>
      <w:r>
        <w:rPr/>
        <w:t>Art. 1º Fica autorizada a concessão de subsídio tarifário ao serviço público de transporte coletivo urbano de passageiros para a empresa prestadora do serviço no município de Gramado, destinado a cobrir o déficit apurado no período de março, julho, agosto e setembro de 2025.</w:t>
      </w:r>
    </w:p>
    <w:p>
      <w:pPr>
        <w:pStyle w:val="BodyText"/>
        <w:spacing w:line="196" w:lineRule="auto" w:before="241"/>
        <w:ind w:left="58" w:right="888" w:firstLine="162"/>
        <w:jc w:val="both"/>
      </w:pPr>
      <w:r>
        <w:rPr/>
        <w:t>Art. 2º O valor destinado para a empresa prestadora do serviço transporte coletivo de passageiros do Município será de R$ 1.082.851,82 (um milhão e oitenta e dois mil e</w:t>
      </w:r>
      <w:r>
        <w:rPr>
          <w:spacing w:val="80"/>
        </w:rPr>
        <w:t> </w:t>
      </w:r>
      <w:r>
        <w:rPr/>
        <w:t>oitocentos e cinquenta e um reais e oitenta e dois centavos), repassado em parcela única, não incidindo qualquer espécie de atualização ou reajuste.</w:t>
      </w:r>
    </w:p>
    <w:p>
      <w:pPr>
        <w:pStyle w:val="BodyText"/>
        <w:spacing w:line="196" w:lineRule="auto" w:before="239"/>
        <w:ind w:left="58" w:right="887" w:firstLine="162"/>
        <w:jc w:val="both"/>
      </w:pPr>
      <w:r>
        <w:rPr/>
        <w:t>§1º O valor de que trata o </w:t>
      </w:r>
      <w:r>
        <w:rPr>
          <w:i/>
        </w:rPr>
        <w:t>caput </w:t>
      </w:r>
      <w:r>
        <w:rPr/>
        <w:t>deverá ser utilizado, exclusivamente, para a quitação dos débitos abaixo elencados, oriundos da inadimplência total ou parcial da empresa de</w:t>
      </w:r>
      <w:r>
        <w:rPr>
          <w:spacing w:val="40"/>
        </w:rPr>
        <w:t> </w:t>
      </w:r>
      <w:r>
        <w:rPr/>
        <w:t>obrigações cujos fatos geradores tenham ocorrido no período informado no art. 1º e exclusivamente em relação a situações decorrentes das atividades desenvolvidas no</w:t>
      </w:r>
      <w:r>
        <w:rPr>
          <w:spacing w:val="80"/>
          <w:w w:val="150"/>
        </w:rPr>
        <w:t> </w:t>
      </w:r>
      <w:r>
        <w:rPr/>
        <w:t>Município de Gramado:</w:t>
      </w:r>
    </w:p>
    <w:p>
      <w:pPr>
        <w:pStyle w:val="ListParagraph"/>
        <w:numPr>
          <w:ilvl w:val="0"/>
          <w:numId w:val="1"/>
        </w:numPr>
        <w:tabs>
          <w:tab w:pos="333" w:val="left" w:leader="none"/>
        </w:tabs>
        <w:spacing w:line="266" w:lineRule="exact" w:before="197" w:after="0"/>
        <w:ind w:left="333" w:right="0" w:hanging="113"/>
        <w:jc w:val="left"/>
        <w:rPr>
          <w:sz w:val="24"/>
        </w:rPr>
      </w:pPr>
      <w:r>
        <w:rPr>
          <w:sz w:val="24"/>
        </w:rPr>
        <w:t>-</w:t>
      </w:r>
      <w:r>
        <w:rPr>
          <w:spacing w:val="-7"/>
          <w:sz w:val="24"/>
        </w:rPr>
        <w:t> </w:t>
      </w:r>
      <w:r>
        <w:rPr>
          <w:sz w:val="24"/>
        </w:rPr>
        <w:t>contribuições</w:t>
      </w:r>
      <w:r>
        <w:rPr>
          <w:spacing w:val="-7"/>
          <w:sz w:val="24"/>
        </w:rPr>
        <w:t> </w:t>
      </w:r>
      <w:r>
        <w:rPr>
          <w:spacing w:val="-2"/>
          <w:sz w:val="24"/>
        </w:rPr>
        <w:t>previdenciárias;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exact" w:before="0" w:after="0"/>
        <w:ind w:left="393" w:right="0" w:hanging="173"/>
        <w:jc w:val="left"/>
        <w:rPr>
          <w:sz w:val="24"/>
        </w:rPr>
      </w:pPr>
      <w:r>
        <w:rPr>
          <w:sz w:val="24"/>
        </w:rPr>
        <w:t>-</w:t>
      </w:r>
      <w:r>
        <w:rPr>
          <w:spacing w:val="-4"/>
          <w:sz w:val="24"/>
        </w:rPr>
        <w:t> </w:t>
      </w:r>
      <w:r>
        <w:rPr>
          <w:sz w:val="24"/>
        </w:rPr>
        <w:t>verbas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trabalhistas;</w:t>
      </w:r>
    </w:p>
    <w:p>
      <w:pPr>
        <w:pStyle w:val="ListParagraph"/>
        <w:numPr>
          <w:ilvl w:val="0"/>
          <w:numId w:val="1"/>
        </w:numPr>
        <w:tabs>
          <w:tab w:pos="452" w:val="left" w:leader="none"/>
        </w:tabs>
        <w:spacing w:line="240" w:lineRule="exact" w:before="0" w:after="0"/>
        <w:ind w:left="452" w:right="0" w:hanging="232"/>
        <w:jc w:val="left"/>
        <w:rPr>
          <w:sz w:val="24"/>
        </w:rPr>
      </w:pPr>
      <w:r>
        <w:rPr>
          <w:sz w:val="24"/>
        </w:rPr>
        <w:t>-</w:t>
      </w:r>
      <w:r>
        <w:rPr>
          <w:spacing w:val="-6"/>
          <w:sz w:val="24"/>
        </w:rPr>
        <w:t> </w:t>
      </w:r>
      <w:r>
        <w:rPr>
          <w:sz w:val="24"/>
        </w:rPr>
        <w:t>recolhimentos</w:t>
      </w:r>
      <w:r>
        <w:rPr>
          <w:spacing w:val="-3"/>
          <w:sz w:val="24"/>
        </w:rPr>
        <w:t> </w:t>
      </w:r>
      <w:r>
        <w:rPr>
          <w:sz w:val="24"/>
        </w:rPr>
        <w:t>para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fundo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garantia</w:t>
      </w:r>
      <w:r>
        <w:rPr>
          <w:spacing w:val="-3"/>
          <w:sz w:val="24"/>
        </w:rPr>
        <w:t> </w:t>
      </w:r>
      <w:r>
        <w:rPr>
          <w:sz w:val="24"/>
        </w:rPr>
        <w:t>por</w:t>
      </w:r>
      <w:r>
        <w:rPr>
          <w:spacing w:val="-4"/>
          <w:sz w:val="24"/>
        </w:rPr>
        <w:t> </w:t>
      </w:r>
      <w:r>
        <w:rPr>
          <w:sz w:val="24"/>
        </w:rPr>
        <w:t>tempo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serviço;</w:t>
      </w:r>
    </w:p>
    <w:p>
      <w:pPr>
        <w:pStyle w:val="ListParagraph"/>
        <w:numPr>
          <w:ilvl w:val="0"/>
          <w:numId w:val="1"/>
        </w:numPr>
        <w:tabs>
          <w:tab w:pos="468" w:val="left" w:leader="none"/>
        </w:tabs>
        <w:spacing w:line="240" w:lineRule="exact" w:before="0" w:after="0"/>
        <w:ind w:left="468" w:right="0" w:hanging="248"/>
        <w:jc w:val="left"/>
        <w:rPr>
          <w:sz w:val="24"/>
        </w:rPr>
      </w:pPr>
      <w:r>
        <w:rPr>
          <w:sz w:val="24"/>
        </w:rPr>
        <w:t>-</w:t>
      </w:r>
      <w:r>
        <w:rPr>
          <w:spacing w:val="-6"/>
          <w:sz w:val="24"/>
        </w:rPr>
        <w:t> </w:t>
      </w:r>
      <w:r>
        <w:rPr>
          <w:sz w:val="24"/>
        </w:rPr>
        <w:t>pagamento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tributos</w:t>
      </w:r>
      <w:r>
        <w:rPr>
          <w:spacing w:val="-6"/>
          <w:sz w:val="24"/>
        </w:rPr>
        <w:t> </w:t>
      </w:r>
      <w:r>
        <w:rPr>
          <w:sz w:val="24"/>
        </w:rPr>
        <w:t>federais,</w:t>
      </w:r>
      <w:r>
        <w:rPr>
          <w:spacing w:val="-5"/>
          <w:sz w:val="24"/>
        </w:rPr>
        <w:t> </w:t>
      </w:r>
      <w:r>
        <w:rPr>
          <w:sz w:val="24"/>
        </w:rPr>
        <w:t>estaduais</w:t>
      </w:r>
      <w:r>
        <w:rPr>
          <w:spacing w:val="-6"/>
          <w:sz w:val="24"/>
        </w:rPr>
        <w:t> </w:t>
      </w:r>
      <w:r>
        <w:rPr>
          <w:sz w:val="24"/>
        </w:rPr>
        <w:t>e</w:t>
      </w:r>
      <w:r>
        <w:rPr>
          <w:spacing w:val="-5"/>
          <w:sz w:val="24"/>
        </w:rPr>
        <w:t> </w:t>
      </w:r>
      <w:r>
        <w:rPr>
          <w:spacing w:val="-2"/>
          <w:sz w:val="24"/>
        </w:rPr>
        <w:t>municipais;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</w:tabs>
        <w:spacing w:line="240" w:lineRule="exact" w:before="0" w:after="0"/>
        <w:ind w:left="409" w:right="0" w:hanging="189"/>
        <w:jc w:val="left"/>
        <w:rPr>
          <w:sz w:val="24"/>
        </w:rPr>
      </w:pPr>
      <w:r>
        <w:rPr>
          <w:sz w:val="24"/>
        </w:rPr>
        <w:t>-</w:t>
      </w:r>
      <w:r>
        <w:rPr>
          <w:spacing w:val="-7"/>
          <w:sz w:val="24"/>
        </w:rPr>
        <w:t> </w:t>
      </w:r>
      <w:r>
        <w:rPr>
          <w:sz w:val="24"/>
        </w:rPr>
        <w:t>pagamento</w:t>
      </w:r>
      <w:r>
        <w:rPr>
          <w:spacing w:val="-7"/>
          <w:sz w:val="24"/>
        </w:rPr>
        <w:t> </w:t>
      </w:r>
      <w:r>
        <w:rPr>
          <w:sz w:val="24"/>
        </w:rPr>
        <w:t>à</w:t>
      </w:r>
      <w:r>
        <w:rPr>
          <w:spacing w:val="-7"/>
          <w:sz w:val="24"/>
        </w:rPr>
        <w:t> </w:t>
      </w:r>
      <w:r>
        <w:rPr>
          <w:sz w:val="24"/>
        </w:rPr>
        <w:t>fornecedores</w:t>
      </w:r>
      <w:r>
        <w:rPr>
          <w:spacing w:val="-7"/>
          <w:sz w:val="24"/>
        </w:rPr>
        <w:t> </w:t>
      </w:r>
      <w:r>
        <w:rPr>
          <w:sz w:val="24"/>
        </w:rPr>
        <w:t>(diesel/peças,</w:t>
      </w:r>
      <w:r>
        <w:rPr>
          <w:spacing w:val="-7"/>
          <w:sz w:val="24"/>
        </w:rPr>
        <w:t> </w:t>
      </w:r>
      <w:r>
        <w:rPr>
          <w:sz w:val="24"/>
        </w:rPr>
        <w:t>entre</w:t>
      </w:r>
      <w:r>
        <w:rPr>
          <w:spacing w:val="-7"/>
          <w:sz w:val="24"/>
        </w:rPr>
        <w:t> </w:t>
      </w:r>
      <w:r>
        <w:rPr>
          <w:spacing w:val="-2"/>
          <w:sz w:val="24"/>
        </w:rPr>
        <w:t>outros);</w:t>
      </w:r>
    </w:p>
    <w:p>
      <w:pPr>
        <w:pStyle w:val="ListParagraph"/>
        <w:numPr>
          <w:ilvl w:val="0"/>
          <w:numId w:val="1"/>
        </w:numPr>
        <w:tabs>
          <w:tab w:pos="468" w:val="left" w:leader="none"/>
        </w:tabs>
        <w:spacing w:line="266" w:lineRule="exact" w:before="0" w:after="0"/>
        <w:ind w:left="468" w:right="0" w:hanging="248"/>
        <w:jc w:val="left"/>
        <w:rPr>
          <w:sz w:val="24"/>
        </w:rPr>
      </w:pPr>
      <w:r>
        <w:rPr>
          <w:sz w:val="24"/>
        </w:rPr>
        <w:t>-</w:t>
      </w:r>
      <w:r>
        <w:rPr>
          <w:spacing w:val="-5"/>
          <w:sz w:val="24"/>
        </w:rPr>
        <w:t> </w:t>
      </w:r>
      <w:r>
        <w:rPr>
          <w:sz w:val="24"/>
        </w:rPr>
        <w:t>pagamento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dívidas</w:t>
      </w:r>
      <w:r>
        <w:rPr>
          <w:spacing w:val="-4"/>
          <w:sz w:val="24"/>
        </w:rPr>
        <w:t> </w:t>
      </w:r>
      <w:r>
        <w:rPr>
          <w:spacing w:val="-2"/>
          <w:sz w:val="24"/>
        </w:rPr>
        <w:t>bancárias.</w:t>
      </w:r>
    </w:p>
    <w:p>
      <w:pPr>
        <w:pStyle w:val="BodyText"/>
        <w:spacing w:line="196" w:lineRule="auto" w:before="228"/>
        <w:ind w:left="58" w:right="888" w:firstLine="162"/>
        <w:jc w:val="both"/>
      </w:pPr>
      <w:r>
        <w:rPr/>
        <w:t>§ 2º A empresa prestadora do serviço de transporte coletivo de passageiros do Município deverá prestar contas da utilização do recurso repassado em até 60 (sessenta) dias contados a partir do recebimento do valor, sob pena da devolução integral do valor recebido, atualizado pelo índice IPCA e acrescido de juros de 1% ao mês.</w:t>
      </w:r>
    </w:p>
    <w:p>
      <w:pPr>
        <w:pStyle w:val="BodyText"/>
        <w:spacing w:line="196" w:lineRule="auto" w:before="240"/>
        <w:ind w:left="58" w:right="888" w:firstLine="162"/>
        <w:jc w:val="both"/>
      </w:pPr>
      <w:r>
        <w:rPr/>
        <w:t>Art. 3º As despesas decorrentes desta Lei serão suportadas pela seguinte dotação </w:t>
      </w:r>
      <w:r>
        <w:rPr>
          <w:spacing w:val="-2"/>
        </w:rPr>
        <w:t>orçamentária:</w:t>
      </w:r>
    </w:p>
    <w:p>
      <w:pPr>
        <w:pStyle w:val="BodyText"/>
        <w:spacing w:line="196" w:lineRule="auto" w:before="239"/>
        <w:ind w:left="275" w:right="3171"/>
      </w:pPr>
      <w:r>
        <w:rPr/>
        <w:t>Órgão:</w:t>
      </w:r>
      <w:r>
        <w:rPr>
          <w:spacing w:val="-5"/>
        </w:rPr>
        <w:t> </w:t>
      </w:r>
      <w:r>
        <w:rPr/>
        <w:t>18</w:t>
      </w:r>
      <w:r>
        <w:rPr>
          <w:spacing w:val="-5"/>
        </w:rPr>
        <w:t> </w:t>
      </w:r>
      <w:r>
        <w:rPr/>
        <w:t>-</w:t>
      </w:r>
      <w:r>
        <w:rPr>
          <w:spacing w:val="-5"/>
        </w:rPr>
        <w:t> </w:t>
      </w:r>
      <w:r>
        <w:rPr/>
        <w:t>SEC.</w:t>
      </w:r>
      <w:r>
        <w:rPr>
          <w:spacing w:val="-5"/>
        </w:rPr>
        <w:t> </w:t>
      </w:r>
      <w:r>
        <w:rPr/>
        <w:t>MUN.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TRÂNSITO</w:t>
      </w:r>
      <w:r>
        <w:rPr>
          <w:spacing w:val="-5"/>
        </w:rPr>
        <w:t> </w:t>
      </w:r>
      <w:r>
        <w:rPr/>
        <w:t>E</w:t>
      </w:r>
      <w:r>
        <w:rPr>
          <w:spacing w:val="-5"/>
        </w:rPr>
        <w:t> </w:t>
      </w:r>
      <w:r>
        <w:rPr/>
        <w:t>MOBILIDADE</w:t>
      </w:r>
      <w:r>
        <w:rPr>
          <w:spacing w:val="-5"/>
        </w:rPr>
        <w:t> </w:t>
      </w:r>
      <w:r>
        <w:rPr/>
        <w:t>URBANA Unidade: 02 - MOBILIDADE URBANA</w:t>
      </w:r>
    </w:p>
    <w:p>
      <w:pPr>
        <w:pStyle w:val="BodyText"/>
        <w:spacing w:line="251" w:lineRule="exact"/>
        <w:ind w:left="275"/>
      </w:pPr>
      <w:r>
        <w:rPr/>
        <w:t>Proj./Ativ.</w:t>
      </w:r>
      <w:r>
        <w:rPr>
          <w:spacing w:val="-7"/>
        </w:rPr>
        <w:t> </w:t>
      </w:r>
      <w:r>
        <w:rPr/>
        <w:t>1.006</w:t>
      </w:r>
      <w:r>
        <w:rPr>
          <w:spacing w:val="-6"/>
        </w:rPr>
        <w:t> </w:t>
      </w:r>
      <w:r>
        <w:rPr/>
        <w:t>IMPLANT.</w:t>
      </w:r>
      <w:r>
        <w:rPr>
          <w:spacing w:val="-6"/>
        </w:rPr>
        <w:t> </w:t>
      </w:r>
      <w:r>
        <w:rPr/>
        <w:t>CRIAÇÃO,</w:t>
      </w:r>
      <w:r>
        <w:rPr>
          <w:spacing w:val="-6"/>
        </w:rPr>
        <w:t> </w:t>
      </w:r>
      <w:r>
        <w:rPr/>
        <w:t>FOMENTO</w:t>
      </w:r>
      <w:r>
        <w:rPr>
          <w:spacing w:val="-6"/>
        </w:rPr>
        <w:t> </w:t>
      </w:r>
      <w:r>
        <w:rPr/>
        <w:t>E</w:t>
      </w:r>
      <w:r>
        <w:rPr>
          <w:spacing w:val="-6"/>
        </w:rPr>
        <w:t> </w:t>
      </w:r>
      <w:r>
        <w:rPr/>
        <w:t>EXEC.</w:t>
      </w:r>
      <w:r>
        <w:rPr>
          <w:spacing w:val="-6"/>
        </w:rPr>
        <w:t> </w:t>
      </w:r>
      <w:r>
        <w:rPr/>
        <w:t>PROJ.</w:t>
      </w:r>
      <w:r>
        <w:rPr>
          <w:spacing w:val="-6"/>
        </w:rPr>
        <w:t> </w:t>
      </w:r>
      <w:r>
        <w:rPr/>
        <w:t>PROG.</w:t>
      </w:r>
      <w:r>
        <w:rPr>
          <w:spacing w:val="-6"/>
        </w:rPr>
        <w:t> </w:t>
      </w:r>
      <w:r>
        <w:rPr>
          <w:spacing w:val="-2"/>
        </w:rPr>
        <w:t>MUNICIPAIS</w:t>
      </w:r>
    </w:p>
    <w:p>
      <w:pPr>
        <w:pStyle w:val="BodyText"/>
        <w:spacing w:after="0" w:line="251" w:lineRule="exact"/>
        <w:sectPr>
          <w:headerReference w:type="default" r:id="rId5"/>
          <w:footerReference w:type="default" r:id="rId6"/>
          <w:type w:val="continuous"/>
          <w:pgSz w:w="11910" w:h="16840"/>
          <w:pgMar w:header="390" w:footer="624" w:top="2040" w:bottom="820" w:left="1700" w:right="0"/>
          <w:pgNumType w:start="1"/>
        </w:sectPr>
      </w:pPr>
    </w:p>
    <w:p>
      <w:pPr>
        <w:pStyle w:val="BodyText"/>
        <w:spacing w:before="199"/>
      </w:pPr>
    </w:p>
    <w:p>
      <w:pPr>
        <w:pStyle w:val="BodyText"/>
        <w:spacing w:line="266" w:lineRule="exact"/>
        <w:ind w:left="275"/>
      </w:pPr>
      <w:r>
        <w:rPr/>
        <w:t>Código</w:t>
      </w:r>
      <w:r>
        <w:rPr>
          <w:spacing w:val="-6"/>
        </w:rPr>
        <w:t> </w:t>
      </w:r>
      <w:r>
        <w:rPr/>
        <w:t>reduzido:</w:t>
      </w:r>
      <w:r>
        <w:rPr>
          <w:spacing w:val="-6"/>
        </w:rPr>
        <w:t> </w:t>
      </w:r>
      <w:r>
        <w:rPr/>
        <w:t>772</w:t>
      </w:r>
      <w:r>
        <w:rPr>
          <w:spacing w:val="-6"/>
        </w:rPr>
        <w:t> </w:t>
      </w:r>
      <w:r>
        <w:rPr/>
        <w:t>–</w:t>
      </w:r>
      <w:r>
        <w:rPr>
          <w:spacing w:val="-6"/>
        </w:rPr>
        <w:t> </w:t>
      </w:r>
      <w:r>
        <w:rPr/>
        <w:t>SUBVENÇÕES</w:t>
      </w:r>
      <w:r>
        <w:rPr>
          <w:spacing w:val="-5"/>
        </w:rPr>
        <w:t> </w:t>
      </w:r>
      <w:r>
        <w:rPr>
          <w:spacing w:val="-2"/>
        </w:rPr>
        <w:t>ECONÔMICAS</w:t>
      </w:r>
    </w:p>
    <w:p>
      <w:pPr>
        <w:pStyle w:val="BodyText"/>
        <w:spacing w:line="266" w:lineRule="exact"/>
        <w:ind w:left="275"/>
      </w:pPr>
      <w:r>
        <w:rPr/>
        <w:t>Dotação:</w:t>
      </w:r>
      <w:r>
        <w:rPr>
          <w:spacing w:val="-11"/>
        </w:rPr>
        <w:t> </w:t>
      </w:r>
      <w:r>
        <w:rPr/>
        <w:t>3.3.60.45.00.00.00.00</w:t>
      </w:r>
      <w:r>
        <w:rPr>
          <w:spacing w:val="-9"/>
        </w:rPr>
        <w:t> </w:t>
      </w:r>
      <w:r>
        <w:rPr/>
        <w:t>0501</w:t>
      </w:r>
      <w:r>
        <w:rPr>
          <w:spacing w:val="-9"/>
        </w:rPr>
        <w:t> </w:t>
      </w:r>
      <w:r>
        <w:rPr/>
        <w:t>–</w:t>
      </w:r>
      <w:r>
        <w:rPr>
          <w:spacing w:val="-9"/>
        </w:rPr>
        <w:t> </w:t>
      </w:r>
      <w:r>
        <w:rPr/>
        <w:t>SUBVENÇÕES</w:t>
      </w:r>
      <w:r>
        <w:rPr>
          <w:spacing w:val="-8"/>
        </w:rPr>
        <w:t> </w:t>
      </w:r>
      <w:r>
        <w:rPr>
          <w:spacing w:val="-2"/>
        </w:rPr>
        <w:t>ECONÔMICAS</w:t>
      </w:r>
    </w:p>
    <w:p>
      <w:pPr>
        <w:pStyle w:val="BodyText"/>
        <w:spacing w:before="187"/>
        <w:ind w:left="220"/>
      </w:pPr>
      <w:r>
        <w:rPr/>
        <w:t>Art.</w:t>
      </w:r>
      <w:r>
        <w:rPr>
          <w:spacing w:val="-5"/>
        </w:rPr>
        <w:t> </w:t>
      </w:r>
      <w:r>
        <w:rPr/>
        <w:t>4º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</w:pPr>
    </w:p>
    <w:p>
      <w:pPr>
        <w:pStyle w:val="BodyText"/>
        <w:spacing w:before="268"/>
      </w:pPr>
    </w:p>
    <w:p>
      <w:pPr>
        <w:pStyle w:val="BodyText"/>
        <w:ind w:left="2932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7217155</wp:posOffset>
            </wp:positionH>
            <wp:positionV relativeFrom="paragraph">
              <wp:posOffset>734445</wp:posOffset>
            </wp:positionV>
            <wp:extent cx="342900" cy="361604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7"/>
        </w:rPr>
        <w:t> </w:t>
      </w:r>
      <w:r>
        <w:rPr/>
        <w:t>13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dezembro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2025.</w:t>
      </w:r>
    </w:p>
    <w:p>
      <w:pPr>
        <w:pStyle w:val="BodyText"/>
        <w:spacing w:before="76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2707502</wp:posOffset>
            </wp:positionH>
            <wp:positionV relativeFrom="paragraph">
              <wp:posOffset>218782</wp:posOffset>
            </wp:positionV>
            <wp:extent cx="1979976" cy="64770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9976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32" w:lineRule="auto" w:before="0"/>
        <w:ind w:left="2826" w:right="5049" w:firstLine="332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t>Nestor Tissot Prefeito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de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Gramado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55"/>
        <w:rPr>
          <w:rFonts w:ascii="Arial"/>
          <w:b/>
          <w:sz w:val="20"/>
        </w:rPr>
      </w:pPr>
    </w:p>
    <w:p>
      <w:pPr>
        <w:tabs>
          <w:tab w:pos="5819" w:val="left" w:leader="none"/>
        </w:tabs>
        <w:spacing w:before="0"/>
        <w:ind w:left="56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spacing w:val="-2"/>
          <w:sz w:val="20"/>
        </w:rPr>
        <w:t>Ciente.</w:t>
      </w:r>
      <w:r>
        <w:rPr>
          <w:rFonts w:ascii="Arial"/>
          <w:b/>
          <w:sz w:val="20"/>
        </w:rPr>
        <w:tab/>
        <w:t>Registre-se</w:t>
      </w:r>
      <w:r>
        <w:rPr>
          <w:rFonts w:ascii="Arial"/>
          <w:b/>
          <w:spacing w:val="-13"/>
          <w:sz w:val="20"/>
        </w:rPr>
        <w:t> </w:t>
      </w:r>
      <w:r>
        <w:rPr>
          <w:rFonts w:ascii="Arial"/>
          <w:b/>
          <w:sz w:val="20"/>
        </w:rPr>
        <w:t>e</w:t>
      </w:r>
      <w:r>
        <w:rPr>
          <w:rFonts w:ascii="Arial"/>
          <w:b/>
          <w:spacing w:val="-10"/>
          <w:sz w:val="20"/>
        </w:rPr>
        <w:t> </w:t>
      </w:r>
      <w:r>
        <w:rPr>
          <w:rFonts w:ascii="Arial"/>
          <w:b/>
          <w:sz w:val="20"/>
        </w:rPr>
        <w:t>Publique-</w:t>
      </w:r>
      <w:r>
        <w:rPr>
          <w:rFonts w:ascii="Arial"/>
          <w:b/>
          <w:spacing w:val="-5"/>
          <w:sz w:val="20"/>
        </w:rPr>
        <w:t>se.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71" w:after="1"/>
        <w:rPr>
          <w:rFonts w:ascii="Arial"/>
          <w:b/>
          <w:sz w:val="20"/>
        </w:rPr>
      </w:pPr>
    </w:p>
    <w:p>
      <w:pPr>
        <w:tabs>
          <w:tab w:pos="4798" w:val="left" w:leader="none"/>
        </w:tabs>
        <w:spacing w:line="240" w:lineRule="auto"/>
        <w:ind w:left="-112" w:right="0" w:firstLine="0"/>
        <w:rPr>
          <w:rFonts w:ascii="Arial"/>
          <w:position w:val="8"/>
          <w:sz w:val="20"/>
        </w:rPr>
      </w:pPr>
      <w:r>
        <w:rPr>
          <w:rFonts w:ascii="Arial"/>
          <w:sz w:val="20"/>
        </w:rPr>
        <w:drawing>
          <wp:inline distT="0" distB="0" distL="0" distR="0">
            <wp:extent cx="2005671" cy="666750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5671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sz w:val="20"/>
        </w:rPr>
      </w:r>
      <w:r>
        <w:rPr>
          <w:rFonts w:ascii="Arial"/>
          <w:sz w:val="20"/>
        </w:rPr>
        <w:tab/>
      </w:r>
      <w:r>
        <w:rPr>
          <w:rFonts w:ascii="Arial"/>
          <w:position w:val="8"/>
          <w:sz w:val="20"/>
        </w:rPr>
        <w:drawing>
          <wp:inline distT="0" distB="0" distL="0" distR="0">
            <wp:extent cx="2057142" cy="685800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142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8"/>
          <w:sz w:val="20"/>
        </w:rPr>
      </w:r>
    </w:p>
    <w:p>
      <w:pPr>
        <w:tabs>
          <w:tab w:pos="4660" w:val="left" w:leader="none"/>
          <w:tab w:pos="5524" w:val="left" w:leader="none"/>
        </w:tabs>
        <w:spacing w:line="232" w:lineRule="auto" w:before="0"/>
        <w:ind w:left="56" w:right="1868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Mariana Melara Reis</w:t>
        <w:tab/>
        <w:tab/>
        <w:t>Débora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Brantes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Prux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da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Silva Procuradora-Geral</w:t>
      </w:r>
      <w:r>
        <w:rPr>
          <w:rFonts w:ascii="Arial" w:hAnsi="Arial"/>
          <w:b/>
          <w:spacing w:val="-10"/>
          <w:sz w:val="20"/>
        </w:rPr>
        <w:t> </w:t>
      </w:r>
      <w:r>
        <w:rPr>
          <w:rFonts w:ascii="Arial" w:hAnsi="Arial"/>
          <w:b/>
          <w:sz w:val="20"/>
        </w:rPr>
        <w:t>do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pacing w:val="-2"/>
          <w:sz w:val="20"/>
        </w:rPr>
        <w:t>Município</w:t>
      </w:r>
      <w:r>
        <w:rPr>
          <w:rFonts w:ascii="Arial" w:hAnsi="Arial"/>
          <w:b/>
          <w:sz w:val="20"/>
        </w:rPr>
        <w:tab/>
        <w:t>Secretária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z w:val="20"/>
        </w:rPr>
        <w:t>Municipal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pacing w:val="-2"/>
          <w:sz w:val="20"/>
        </w:rPr>
        <w:t>Administração</w:t>
      </w:r>
    </w:p>
    <w:sectPr>
      <w:pgSz w:w="11910" w:h="16840"/>
      <w:pgMar w:header="390" w:footer="624" w:top="2040" w:bottom="820" w:left="170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36128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instrText> PAGE </w:instrTex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instrText> NUMPAGES </w:instrTex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2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94.400002pt;margin-top:799.697815pt;width:452.75pt;height:22.9pt;mso-position-horizontal-relative:page;mso-position-vertical-relative:page;z-index:-15780352" type="#_x0000_t202" id="docshape2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z w:val="16"/>
                      </w:rPr>
                      <w:instrText> PAGE </w:instrText>
                    </w:r>
                    <w:r>
                      <w:rPr>
                        <w:rFonts w:ascii="Arial MT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z w:val="16"/>
                      </w:rPr>
                      <w:fldChar w:fldCharType="end"/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instrText> NUMPAGES </w:instrTex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2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35104">
          <wp:simplePos x="0" y="0"/>
          <wp:positionH relativeFrom="page">
            <wp:posOffset>3775455</wp:posOffset>
          </wp:positionH>
          <wp:positionV relativeFrom="page">
            <wp:posOffset>247650</wp:posOffset>
          </wp:positionV>
          <wp:extent cx="549021" cy="719963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49021" cy="7199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35616">
              <wp:simplePos x="0" y="0"/>
              <wp:positionH relativeFrom="page">
                <wp:posOffset>2182495</wp:posOffset>
              </wp:positionH>
              <wp:positionV relativeFrom="page">
                <wp:posOffset>1009199</wp:posOffset>
              </wp:positionV>
              <wp:extent cx="3750945" cy="30924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3750945" cy="309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7"/>
                            <w:ind w:left="20" w:right="0" w:firstLine="0"/>
                            <w:jc w:val="left"/>
                            <w:rPr>
                              <w:rFonts w:ascii="Arial"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71.850006pt;margin-top:79.464546pt;width:295.350pt;height:24.35pt;mso-position-horizontal-relative:page;mso-position-vertical-relative:page;z-index:-15780864" type="#_x0000_t202" id="docshape1" filled="false" stroked="false">
              <v:textbox inset="0,0,0,0">
                <w:txbxContent>
                  <w:p>
                    <w:pPr>
                      <w:spacing w:before="7"/>
                      <w:ind w:left="20" w:right="0" w:firstLine="0"/>
                      <w:jc w:val="left"/>
                      <w:rPr>
                        <w:rFonts w:ascii="Arial"/>
                        <w:i/>
                        <w:sz w:val="40"/>
                      </w:rPr>
                    </w:pPr>
                    <w:r>
                      <w:rPr>
                        <w:rFonts w:asci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upperRoman"/>
      <w:lvlText w:val="%1"/>
      <w:lvlJc w:val="left"/>
      <w:pPr>
        <w:ind w:left="335" w:hanging="115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326" w:hanging="115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13" w:hanging="11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99" w:hanging="11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286" w:hanging="11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272" w:hanging="11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259" w:hanging="11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45" w:hanging="11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232" w:hanging="115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4"/>
      <w:szCs w:val="2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"/>
      <w:ind w:left="20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spacing w:line="240" w:lineRule="exact"/>
      <w:ind w:left="468" w:hanging="248"/>
    </w:pPr>
    <w:rPr>
      <w:rFonts w:ascii="Calibri" w:hAnsi="Calibri" w:eastAsia="Calibri" w:cs="Calibri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2025-12-23T14:06:24Z</dcterms:created>
  <dcterms:modified xsi:type="dcterms:W3CDTF">2025-12-23T14:06:24Z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2025-12-13T00:00:00Z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2025-12-23T00:00:00Z</vt:filetime>
  </property>
  <property fmtid="{D5CDD505-2E9C-101B-9397-08002B2CF9AE}" pid="5" name="Producer">
    <vt:lpwstr>Bry Signer PDF 2.3.1</vt:lpwstr>
  </property>
</Properties>
</file>