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4480,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13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40"/>
        <w:jc w:val="both"/>
        <w:rPr>
          <w:rFonts w:ascii="Arial MT" w:hAnsi="Arial MT"/>
        </w:rPr>
      </w:pPr>
      <w:r>
        <w:rPr/>
        <w:t>Altera dispositivo da Lei nº 3.490, de 22 de junho de 2016, que institui o novo Plano de Cargos e o Sistema de Remuneração dos Servidores da Autarquia Municipal de Turismo de Gramado – GRAMADOTUR e dá outras providências</w:t>
      </w:r>
      <w:r>
        <w:rPr>
          <w:rFonts w:ascii="Arial MT" w:hAnsi="Arial MT"/>
        </w:rPr>
        <w:t>.</w:t>
      </w: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spacing w:before="77"/>
        <w:rPr>
          <w:rFonts w:ascii="Arial MT"/>
        </w:rPr>
      </w:pPr>
    </w:p>
    <w:p>
      <w:pPr>
        <w:pStyle w:val="BodyText"/>
        <w:spacing w:line="194" w:lineRule="auto"/>
        <w:ind w:left="57" w:right="890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-334004</wp:posOffset>
            </wp:positionV>
            <wp:extent cx="342900" cy="3616043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</w:t>
      </w:r>
      <w:r>
        <w:rPr>
          <w:b/>
          <w:spacing w:val="33"/>
        </w:rPr>
        <w:t> </w:t>
      </w:r>
      <w:r>
        <w:rPr/>
        <w:t>no uso de suas atribuições legais, FAÇO SABER, que a Câmara Municipal</w:t>
      </w:r>
      <w:r>
        <w:rPr>
          <w:spacing w:val="80"/>
        </w:rPr>
        <w:t> </w:t>
      </w:r>
      <w:r>
        <w:rPr/>
        <w:t>de Vereadores aprovou e eu sanciono e promulgo a seguinte Lei:</w:t>
      </w:r>
    </w:p>
    <w:p>
      <w:pPr>
        <w:pStyle w:val="BodyText"/>
      </w:pPr>
    </w:p>
    <w:p>
      <w:pPr>
        <w:pStyle w:val="BodyText"/>
        <w:spacing w:before="64"/>
      </w:pPr>
    </w:p>
    <w:p>
      <w:pPr>
        <w:pStyle w:val="BodyText"/>
        <w:spacing w:line="242" w:lineRule="auto"/>
        <w:ind w:left="57" w:right="890" w:firstLine="149"/>
        <w:jc w:val="both"/>
      </w:pPr>
      <w:r>
        <w:rPr/>
        <w:t>Art. 1º Altera o</w:t>
      </w:r>
      <w:r>
        <w:rPr>
          <w:spacing w:val="-3"/>
        </w:rPr>
        <w:t> </w:t>
      </w:r>
      <w:r>
        <w:rPr>
          <w:i/>
        </w:rPr>
        <w:t>caput </w:t>
      </w:r>
      <w:r>
        <w:rPr/>
        <w:t>e acrescenta o parágrafo único no art. 25, da Lei nº 3.490, de 22 de junho de 2016, passando a vigorar com a seguinte redação:</w:t>
      </w:r>
    </w:p>
    <w:p>
      <w:pPr>
        <w:pStyle w:val="BodyText"/>
        <w:spacing w:before="54"/>
      </w:pPr>
    </w:p>
    <w:p>
      <w:pPr>
        <w:pStyle w:val="BodyText"/>
        <w:spacing w:line="172" w:lineRule="auto" w:before="1"/>
        <w:ind w:left="57" w:right="888" w:firstLine="149"/>
        <w:jc w:val="both"/>
      </w:pPr>
      <w:r>
        <w:rPr/>
        <w:t>"</w:t>
      </w:r>
      <w:hyperlink r:id="rId7">
        <w:r>
          <w:rPr>
            <w:color w:val="0000FF"/>
            <w:u w:val="single" w:color="0000FF"/>
          </w:rPr>
          <w:t>Art. 25. O servidor efetivo perceberá o avanço trienal e as demais vantagens funcionais nos termos</w:t>
        </w:r>
      </w:hyperlink>
      <w:r>
        <w:rPr>
          <w:color w:val="0000FF"/>
          <w:spacing w:val="80"/>
        </w:rPr>
        <w:t> </w:t>
      </w:r>
      <w:hyperlink r:id="rId7">
        <w:r>
          <w:rPr>
            <w:color w:val="0000FF"/>
            <w:u w:val="single" w:color="0000FF"/>
          </w:rPr>
          <w:t>e</w:t>
        </w:r>
      </w:hyperlink>
      <w:r>
        <w:rPr>
          <w:color w:val="0000FF"/>
          <w:u w:val="single" w:color="0000FF"/>
        </w:rPr>
        <w:t> </w:t>
      </w:r>
      <w:hyperlink r:id="rId7">
        <w:r>
          <w:rPr>
            <w:color w:val="0000FF"/>
            <w:u w:val="single" w:color="0000FF"/>
          </w:rPr>
          <w:t>nas condições definidas na Lei Municipal nº 2.912/2011, na Lei Municipal nº 2.914/2011 e no</w:t>
        </w:r>
      </w:hyperlink>
      <w:r>
        <w:rPr>
          <w:color w:val="0000FF"/>
          <w:spacing w:val="80"/>
        </w:rPr>
        <w:t> </w:t>
      </w:r>
      <w:hyperlink r:id="rId7">
        <w:r>
          <w:rPr>
            <w:color w:val="0000FF"/>
            <w:u w:val="single" w:color="0000FF"/>
          </w:rPr>
          <w:t>Decreto</w:t>
        </w:r>
      </w:hyperlink>
      <w:r>
        <w:rPr>
          <w:color w:val="0000FF"/>
          <w:u w:val="single" w:color="0000FF"/>
        </w:rPr>
        <w:t> </w:t>
      </w:r>
      <w:hyperlink r:id="rId7">
        <w:r>
          <w:rPr>
            <w:color w:val="0000FF"/>
            <w:u w:val="single" w:color="0000FF"/>
          </w:rPr>
          <w:t>Municipal nº 71/2013 e suas alterações.</w:t>
        </w:r>
      </w:hyperlink>
    </w:p>
    <w:p>
      <w:pPr>
        <w:pStyle w:val="BodyText"/>
        <w:spacing w:line="196" w:lineRule="auto" w:before="228"/>
        <w:ind w:left="57" w:right="889"/>
        <w:jc w:val="both"/>
      </w:pPr>
      <w:r>
        <w:rPr>
          <w:color w:val="0000FF"/>
          <w:spacing w:val="80"/>
          <w:u w:val="single" w:color="0000FF"/>
        </w:rPr>
        <w:t> </w:t>
      </w:r>
      <w:hyperlink r:id="rId7">
        <w:r>
          <w:rPr>
            <w:color w:val="0000FF"/>
            <w:u w:val="single" w:color="0000FF"/>
          </w:rPr>
          <w:t>Parágrafo único. No que se refere à Avaliação de Desempenho, prevista no artigo 30 da Lei Municipal</w:t>
        </w:r>
      </w:hyperlink>
      <w:r>
        <w:rPr>
          <w:color w:val="0000FF"/>
        </w:rPr>
        <w:t> </w:t>
      </w:r>
      <w:hyperlink r:id="rId7">
        <w:r>
          <w:rPr>
            <w:color w:val="0000FF"/>
            <w:u w:val="single" w:color="0000FF"/>
          </w:rPr>
          <w:t>nº</w:t>
        </w:r>
      </w:hyperlink>
      <w:r>
        <w:rPr>
          <w:color w:val="0000FF"/>
          <w:u w:val="single" w:color="0000FF"/>
        </w:rPr>
        <w:t> </w:t>
      </w:r>
      <w:hyperlink r:id="rId7">
        <w:r>
          <w:rPr>
            <w:color w:val="0000FF"/>
            <w:u w:val="single" w:color="0000FF"/>
          </w:rPr>
          <w:t>2.912/2011, deverão ser seguidos pela Comissão Permanente de Gestão da Qualidade do Poder</w:t>
        </w:r>
      </w:hyperlink>
      <w:r>
        <w:rPr>
          <w:color w:val="0000FF"/>
        </w:rPr>
        <w:t> </w:t>
      </w:r>
      <w:hyperlink r:id="rId7">
        <w:r>
          <w:rPr>
            <w:color w:val="0000FF"/>
            <w:u w:val="single" w:color="0000FF"/>
          </w:rPr>
          <w:t>Executivo</w:t>
        </w:r>
      </w:hyperlink>
      <w:r>
        <w:rPr>
          <w:color w:val="0000FF"/>
          <w:u w:val="single" w:color="0000FF"/>
        </w:rPr>
        <w:t> </w:t>
      </w:r>
      <w:hyperlink r:id="rId7">
        <w:r>
          <w:rPr>
            <w:color w:val="0000FF"/>
            <w:u w:val="single" w:color="0000FF"/>
          </w:rPr>
          <w:t>(CPGQ) os critérios previstos na Lei Municipal nº 2.914/2011 e no Decreto Municipal nº</w:t>
        </w:r>
      </w:hyperlink>
      <w:r>
        <w:rPr>
          <w:color w:val="0000FF"/>
        </w:rPr>
        <w:t> </w:t>
      </w:r>
      <w:hyperlink r:id="rId7">
        <w:r>
          <w:rPr>
            <w:color w:val="0000FF"/>
            <w:u w:val="single" w:color="0000FF"/>
          </w:rPr>
          <w:t>71/2013</w:t>
        </w:r>
      </w:hyperlink>
      <w:r>
        <w:rPr>
          <w:color w:val="0000FF"/>
          <w:u w:val="single" w:color="0000FF"/>
        </w:rPr>
        <w:t> </w:t>
      </w:r>
      <w:hyperlink r:id="rId7">
        <w:r>
          <w:rPr>
            <w:color w:val="0000FF"/>
            <w:u w:val="single" w:color="0000FF"/>
          </w:rPr>
          <w:t>e suas alterações." (NR)</w:t>
        </w:r>
      </w:hyperlink>
    </w:p>
    <w:p>
      <w:pPr>
        <w:pStyle w:val="BodyText"/>
        <w:spacing w:line="196" w:lineRule="auto" w:before="219"/>
        <w:ind w:left="57" w:right="888" w:firstLine="149"/>
        <w:jc w:val="both"/>
      </w:pPr>
      <w:r>
        <w:rPr/>
        <w:t>Art. 2º Ficam convalidadas as avaliações concluídas e/ou parciais efetivadas até a data da publicação desta Lei.</w:t>
      </w:r>
    </w:p>
    <w:p>
      <w:pPr>
        <w:pStyle w:val="BodyText"/>
        <w:spacing w:before="182"/>
        <w:ind w:left="206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6"/>
      </w:pPr>
    </w:p>
    <w:p>
      <w:pPr>
        <w:pStyle w:val="BodyText"/>
        <w:spacing w:before="1"/>
        <w:ind w:right="834"/>
        <w:jc w:val="center"/>
      </w:pPr>
      <w:r>
        <w:rPr/>
        <w:drawing>
          <wp:anchor distT="0" distB="0" distL="0" distR="0" allowOverlap="1" layoutInCell="1" locked="0" behindDoc="1" simplePos="0" relativeHeight="487538176">
            <wp:simplePos x="0" y="0"/>
            <wp:positionH relativeFrom="page">
              <wp:posOffset>2532010</wp:posOffset>
            </wp:positionH>
            <wp:positionV relativeFrom="paragraph">
              <wp:posOffset>27899</wp:posOffset>
            </wp:positionV>
            <wp:extent cx="2032000" cy="677417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13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  <w:spacing w:before="96"/>
      </w:pPr>
    </w:p>
    <w:p>
      <w:pPr>
        <w:spacing w:line="232" w:lineRule="auto" w:before="0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4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both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37152">
            <wp:simplePos x="0" y="0"/>
            <wp:positionH relativeFrom="page">
              <wp:posOffset>1154684</wp:posOffset>
            </wp:positionH>
            <wp:positionV relativeFrom="paragraph">
              <wp:posOffset>28669</wp:posOffset>
            </wp:positionV>
            <wp:extent cx="2032000" cy="67741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7"/>
        <w:rPr>
          <w:rFonts w:ascii="Arial"/>
          <w:b/>
          <w:sz w:val="20"/>
        </w:rPr>
      </w:pPr>
    </w:p>
    <w:p>
      <w:pPr>
        <w:tabs>
          <w:tab w:pos="4660" w:val="left" w:leader="none"/>
          <w:tab w:pos="5524" w:val="left" w:leader="none"/>
        </w:tabs>
        <w:spacing w:line="232" w:lineRule="auto" w:before="0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drawing>
          <wp:anchor distT="0" distB="0" distL="0" distR="0" allowOverlap="1" layoutInCell="1" locked="0" behindDoc="1" simplePos="0" relativeHeight="487537664">
            <wp:simplePos x="0" y="0"/>
            <wp:positionH relativeFrom="page">
              <wp:posOffset>4318733</wp:posOffset>
            </wp:positionH>
            <wp:positionV relativeFrom="paragraph">
              <wp:posOffset>250321</wp:posOffset>
            </wp:positionV>
            <wp:extent cx="2032000" cy="677418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22"/>
        <w:rPr>
          <w:rFonts w:ascii="Arial"/>
          <w:b/>
          <w:sz w:val="20"/>
        </w:rPr>
      </w:pPr>
    </w:p>
    <w:p>
      <w:pPr>
        <w:spacing w:before="0"/>
        <w:ind w:left="0" w:right="1047" w:firstLine="0"/>
        <w:jc w:val="right"/>
        <w:rPr>
          <w:rFonts w:ascii="Arial MT" w:hAnsi="Arial MT"/>
          <w:sz w:val="16"/>
        </w:rPr>
      </w:pPr>
      <w:r>
        <w:rPr>
          <w:rFonts w:ascii="Arial MT" w:hAnsi="Arial MT"/>
          <w:sz w:val="16"/>
        </w:rPr>
        <w:t>Avenida</w:t>
      </w:r>
      <w:r>
        <w:rPr>
          <w:rFonts w:ascii="Arial MT" w:hAnsi="Arial MT"/>
          <w:spacing w:val="-6"/>
          <w:sz w:val="16"/>
        </w:rPr>
        <w:t> </w:t>
      </w:r>
      <w:r>
        <w:rPr>
          <w:rFonts w:ascii="Arial MT" w:hAnsi="Arial MT"/>
          <w:sz w:val="16"/>
        </w:rPr>
        <w:t>Das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Hortênsias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2029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Centro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Cep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95.670-900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Gramado/RS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Telefone: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(54)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3286-2500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-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z w:val="16"/>
        </w:rPr>
        <w:t>Site:</w:t>
      </w:r>
      <w:r>
        <w:rPr>
          <w:rFonts w:ascii="Arial MT" w:hAnsi="Arial MT"/>
          <w:spacing w:val="-4"/>
          <w:sz w:val="16"/>
        </w:rPr>
        <w:t> </w:t>
      </w:r>
      <w:r>
        <w:rPr>
          <w:rFonts w:ascii="Arial MT" w:hAnsi="Arial MT"/>
          <w:spacing w:val="-2"/>
          <w:sz w:val="16"/>
        </w:rPr>
        <w:t>gramado.rs.gov.br</w:t>
      </w:r>
    </w:p>
    <w:p>
      <w:pPr>
        <w:spacing w:before="55"/>
        <w:ind w:left="0" w:right="981" w:firstLine="0"/>
        <w:jc w:val="right"/>
        <w:rPr>
          <w:rFonts w:ascii="Arial MT"/>
          <w:sz w:val="16"/>
        </w:rPr>
      </w:pPr>
      <w:r>
        <w:rPr>
          <w:rFonts w:ascii="Arial MT"/>
          <w:sz w:val="16"/>
        </w:rPr>
        <w:t>1</w:t>
      </w:r>
      <w:r>
        <w:rPr>
          <w:rFonts w:ascii="Arial MT"/>
          <w:spacing w:val="42"/>
          <w:sz w:val="16"/>
        </w:rPr>
        <w:t>  </w:t>
      </w:r>
      <w:r>
        <w:rPr>
          <w:rFonts w:ascii="Arial MT"/>
          <w:sz w:val="16"/>
        </w:rPr>
        <w:t>/</w:t>
      </w:r>
      <w:r>
        <w:rPr>
          <w:rFonts w:ascii="Arial MT"/>
          <w:spacing w:val="42"/>
          <w:sz w:val="16"/>
        </w:rPr>
        <w:t>  </w:t>
      </w:r>
      <w:r>
        <w:rPr>
          <w:rFonts w:ascii="Arial MT"/>
          <w:spacing w:val="-10"/>
          <w:sz w:val="16"/>
        </w:rPr>
        <w:t>1</w:t>
      </w:r>
    </w:p>
    <w:sectPr>
      <w:type w:val="continuous"/>
      <w:pgSz w:w="11910" w:h="16840"/>
      <w:pgMar w:top="380" w:bottom="28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" w:right="835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https://gramado.atende.net/recurso/texto-juridico/texto/53264#art25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2025-12-23T14:07:02Z</dcterms:created>
  <dcterms:modified xsi:type="dcterms:W3CDTF">2025-12-23T14:07:02Z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