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</w:rPr>
      </w:pPr>
    </w:p>
    <w:p>
      <w:pPr>
        <w:pStyle w:val="BodyText"/>
        <w:spacing w:before="81"/>
        <w:rPr>
          <w:rFonts w:ascii="Arial"/>
          <w:i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4481,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13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6"/>
        <w:rPr>
          <w:rFonts w:ascii="Arial"/>
          <w:b/>
        </w:rPr>
      </w:pPr>
    </w:p>
    <w:p>
      <w:pPr>
        <w:pStyle w:val="BodyText"/>
        <w:spacing w:line="196" w:lineRule="auto"/>
        <w:ind w:left="4715" w:right="940"/>
        <w:jc w:val="both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1056002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Concede isenção do imposto sobre a propriedade predial e territorial urbana –</w:t>
      </w:r>
      <w:r>
        <w:rPr>
          <w:spacing w:val="80"/>
        </w:rPr>
        <w:t> </w:t>
      </w:r>
      <w:r>
        <w:rPr/>
        <w:t>IPTU aos imóveis de transcrição nº 3.731 e de transcrição nº 2.644 do Registro de Imóveis</w:t>
      </w:r>
      <w:r>
        <w:rPr>
          <w:spacing w:val="80"/>
        </w:rPr>
        <w:t> </w:t>
      </w:r>
      <w:r>
        <w:rPr/>
        <w:t>de Gramado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4"/>
      </w:pPr>
    </w:p>
    <w:p>
      <w:pPr>
        <w:pStyle w:val="BodyText"/>
        <w:spacing w:line="189" w:lineRule="auto" w:before="1"/>
        <w:ind w:left="58"/>
      </w:pPr>
      <w:r>
        <w:rPr>
          <w:b/>
        </w:rPr>
        <w:t>O</w:t>
      </w:r>
      <w:r>
        <w:rPr>
          <w:b/>
          <w:spacing w:val="34"/>
        </w:rPr>
        <w:t> </w:t>
      </w:r>
      <w:r>
        <w:rPr>
          <w:b/>
        </w:rPr>
        <w:t>PREFEITO</w:t>
      </w:r>
      <w:r>
        <w:rPr>
          <w:b/>
          <w:spacing w:val="34"/>
        </w:rPr>
        <w:t> </w:t>
      </w:r>
      <w:r>
        <w:rPr>
          <w:b/>
        </w:rPr>
        <w:t>DE</w:t>
      </w:r>
      <w:r>
        <w:rPr>
          <w:b/>
          <w:spacing w:val="34"/>
        </w:rPr>
        <w:t> </w:t>
      </w:r>
      <w:r>
        <w:rPr>
          <w:b/>
        </w:rPr>
        <w:t>GRAMADO,</w:t>
      </w:r>
      <w:r>
        <w:rPr>
          <w:b/>
          <w:spacing w:val="40"/>
        </w:rPr>
        <w:t> </w:t>
      </w:r>
      <w:r>
        <w:rPr/>
        <w:t>no</w:t>
      </w:r>
      <w:r>
        <w:rPr>
          <w:spacing w:val="34"/>
        </w:rPr>
        <w:t> </w:t>
      </w:r>
      <w:r>
        <w:rPr/>
        <w:t>uso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suas</w:t>
      </w:r>
      <w:r>
        <w:rPr>
          <w:spacing w:val="34"/>
        </w:rPr>
        <w:t> </w:t>
      </w:r>
      <w:r>
        <w:rPr/>
        <w:t>atribuições</w:t>
      </w:r>
      <w:r>
        <w:rPr>
          <w:spacing w:val="34"/>
        </w:rPr>
        <w:t> </w:t>
      </w:r>
      <w:r>
        <w:rPr/>
        <w:t>legais,</w:t>
      </w:r>
      <w:r>
        <w:rPr>
          <w:spacing w:val="34"/>
        </w:rPr>
        <w:t> </w:t>
      </w:r>
      <w:r>
        <w:rPr/>
        <w:t>FAÇO</w:t>
      </w:r>
      <w:r>
        <w:rPr>
          <w:spacing w:val="34"/>
        </w:rPr>
        <w:t> </w:t>
      </w:r>
      <w:r>
        <w:rPr/>
        <w:t>SABER,</w:t>
      </w:r>
      <w:r>
        <w:rPr>
          <w:spacing w:val="34"/>
        </w:rPr>
        <w:t> </w:t>
      </w:r>
      <w:r>
        <w:rPr/>
        <w:t>que</w:t>
      </w:r>
      <w:r>
        <w:rPr>
          <w:spacing w:val="34"/>
        </w:rPr>
        <w:t> </w:t>
      </w:r>
      <w:r>
        <w:rPr/>
        <w:t>a</w:t>
      </w:r>
      <w:r>
        <w:rPr>
          <w:spacing w:val="34"/>
        </w:rPr>
        <w:t> </w:t>
      </w:r>
      <w:r>
        <w:rPr/>
        <w:t>Câmara 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spacing w:line="196" w:lineRule="auto"/>
        <w:ind w:left="58" w:right="889" w:firstLine="162"/>
        <w:jc w:val="both"/>
      </w:pPr>
      <w:r>
        <w:rPr/>
        <w:t>Art. 1º Fica o Poder Executivo autorizado a isentar o imposto sobre a propriedade predial e territorial urbana - IPTU incidente sobre os imóveis de transcrição nº 3.731 e de transcrição nº 2.644 do Registro de Imóveis de Gramado/RS (Palácio dos Festivais).</w:t>
      </w:r>
    </w:p>
    <w:p>
      <w:pPr>
        <w:pStyle w:val="BodyText"/>
        <w:spacing w:line="196" w:lineRule="auto" w:before="239"/>
        <w:ind w:left="58" w:right="888" w:firstLine="162"/>
        <w:jc w:val="both"/>
      </w:pPr>
      <w:r>
        <w:rPr/>
        <w:t>Art. 2º Os imóveis beneficiados por esta Lei disponibilizarão, anualmente, sem qualquer custo, suas dependências para utilização pelo Município, limitada a 10 (dez) dias por exercício, não</w:t>
      </w:r>
      <w:r>
        <w:rPr>
          <w:spacing w:val="-2"/>
        </w:rPr>
        <w:t> </w:t>
      </w:r>
      <w:r>
        <w:rPr/>
        <w:t>cumuláveis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exercício</w:t>
      </w:r>
      <w:r>
        <w:rPr>
          <w:spacing w:val="-2"/>
        </w:rPr>
        <w:t> </w:t>
      </w:r>
      <w:r>
        <w:rPr/>
        <w:t>posterior,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realização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atividades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interesse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  <w:spacing w:line="196" w:lineRule="auto" w:before="240"/>
        <w:ind w:left="58" w:right="890" w:firstLine="162"/>
        <w:jc w:val="both"/>
      </w:pPr>
      <w:r>
        <w:rPr/>
        <w:t>Parágrafo único. O Município deverá requerer, por escrito, às entidades, a utilização de suas dependências, com antecedência mínima de 7 (sete) dias.</w:t>
      </w:r>
    </w:p>
    <w:p>
      <w:pPr>
        <w:pStyle w:val="BodyText"/>
        <w:spacing w:line="196" w:lineRule="auto" w:before="239"/>
        <w:ind w:left="58" w:right="888" w:firstLine="162"/>
        <w:jc w:val="both"/>
      </w:pPr>
      <w:r>
        <w:rPr/>
        <w:t>Art. 3º Esta Lei entra em vigor em 1º de janeiro de 2026, e terá vigência até 31 de dezembro de 2030.</w:t>
      </w: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ind w:left="2" w:right="835"/>
        <w:jc w:val="center"/>
      </w:pPr>
      <w:r>
        <w:rPr/>
        <w:drawing>
          <wp:anchor distT="0" distB="0" distL="0" distR="0" allowOverlap="1" layoutInCell="1" locked="0" behindDoc="1" simplePos="0" relativeHeight="487550976">
            <wp:simplePos x="0" y="0"/>
            <wp:positionH relativeFrom="page">
              <wp:posOffset>2467356</wp:posOffset>
            </wp:positionH>
            <wp:positionV relativeFrom="paragraph">
              <wp:posOffset>85193</wp:posOffset>
            </wp:positionV>
            <wp:extent cx="2032000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7"/>
        </w:rPr>
        <w:t> </w:t>
      </w:r>
      <w:r>
        <w:rPr/>
        <w:t>13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40"/>
      </w:pPr>
    </w:p>
    <w:p>
      <w:pPr>
        <w:spacing w:line="232" w:lineRule="auto" w:before="1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50464">
            <wp:simplePos x="0" y="0"/>
            <wp:positionH relativeFrom="page">
              <wp:posOffset>1130300</wp:posOffset>
            </wp:positionH>
            <wp:positionV relativeFrom="paragraph">
              <wp:posOffset>454340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spacing w:before="131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4194556</wp:posOffset>
            </wp:positionH>
            <wp:positionV relativeFrom="paragraph">
              <wp:posOffset>245085</wp:posOffset>
            </wp:positionV>
            <wp:extent cx="2057142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944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7040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2025-12-23T14:07:43Z</dcterms:created>
  <dcterms:modified xsi:type="dcterms:W3CDTF">2025-12-23T14:07:43Z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