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183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4478,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11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DEZEMBRO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4714" w:right="939"/>
      </w:pPr>
      <w:r>
        <w:rPr/>
        <w:t>Estima</w:t>
      </w:r>
      <w:r>
        <w:rPr>
          <w:spacing w:val="39"/>
        </w:rPr>
        <w:t> </w:t>
      </w:r>
      <w:r>
        <w:rPr/>
        <w:t>a</w:t>
      </w:r>
      <w:r>
        <w:rPr>
          <w:spacing w:val="39"/>
        </w:rPr>
        <w:t> </w:t>
      </w:r>
      <w:r>
        <w:rPr/>
        <w:t>Receita</w:t>
      </w:r>
      <w:r>
        <w:rPr>
          <w:spacing w:val="39"/>
        </w:rPr>
        <w:t> </w:t>
      </w:r>
      <w:r>
        <w:rPr/>
        <w:t>e</w:t>
      </w:r>
      <w:r>
        <w:rPr>
          <w:spacing w:val="39"/>
        </w:rPr>
        <w:t> </w:t>
      </w:r>
      <w:r>
        <w:rPr/>
        <w:t>Fixa</w:t>
      </w:r>
      <w:r>
        <w:rPr>
          <w:spacing w:val="39"/>
        </w:rPr>
        <w:t> </w:t>
      </w:r>
      <w:r>
        <w:rPr/>
        <w:t>a</w:t>
      </w:r>
      <w:r>
        <w:rPr>
          <w:spacing w:val="39"/>
        </w:rPr>
        <w:t> </w:t>
      </w:r>
      <w:r>
        <w:rPr/>
        <w:t>Despesa</w:t>
      </w:r>
      <w:r>
        <w:rPr>
          <w:spacing w:val="39"/>
        </w:rPr>
        <w:t> </w:t>
      </w:r>
      <w:r>
        <w:rPr/>
        <w:t>do</w:t>
      </w:r>
      <w:r>
        <w:rPr>
          <w:spacing w:val="39"/>
        </w:rPr>
        <w:t> </w:t>
      </w:r>
      <w:r>
        <w:rPr/>
        <w:t>Município para o exercício financeiro de 2026.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3"/>
      </w:pPr>
    </w:p>
    <w:p>
      <w:pPr>
        <w:pStyle w:val="BodyText"/>
        <w:spacing w:line="237" w:lineRule="auto"/>
        <w:ind w:left="57" w:right="360"/>
        <w:rPr>
          <w:rFonts w:ascii="Arial MT" w:hAnsi="Arial MT"/>
        </w:rPr>
      </w:pPr>
      <w:r>
        <w:rPr>
          <w:rFonts w:ascii="Arial MT" w:hAnsi="Arial MT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123506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PREFEITO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GRAMADO,</w:t>
      </w:r>
      <w:r>
        <w:rPr>
          <w:rFonts w:ascii="Arial" w:hAnsi="Arial"/>
          <w:b/>
          <w:spacing w:val="40"/>
        </w:rPr>
        <w:t> </w:t>
      </w:r>
      <w:r>
        <w:rPr>
          <w:rFonts w:ascii="Arial MT" w:hAnsi="Arial MT"/>
        </w:rPr>
        <w:t>no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uso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de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suas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atribuições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legais,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FAÇO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SABER,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que</w:t>
      </w:r>
      <w:r>
        <w:rPr>
          <w:rFonts w:ascii="Arial MT" w:hAnsi="Arial MT"/>
          <w:spacing w:val="40"/>
        </w:rPr>
        <w:t> </w:t>
      </w:r>
      <w:r>
        <w:rPr>
          <w:rFonts w:ascii="Arial MT" w:hAnsi="Arial MT"/>
        </w:rPr>
        <w:t>a Câmara Municipal de Vereadores aprovou e eu sanciono e promulgo a seguinte Lei:</w:t>
      </w:r>
    </w:p>
    <w:p>
      <w:pPr>
        <w:pStyle w:val="BodyText"/>
        <w:rPr>
          <w:rFonts w:ascii="Arial MT"/>
        </w:rPr>
      </w:pPr>
    </w:p>
    <w:p>
      <w:pPr>
        <w:pStyle w:val="BodyText"/>
        <w:spacing w:before="128"/>
        <w:rPr>
          <w:rFonts w:ascii="Arial MT"/>
        </w:rPr>
      </w:pPr>
    </w:p>
    <w:p>
      <w:pPr>
        <w:pStyle w:val="BodyText"/>
        <w:spacing w:line="196" w:lineRule="auto"/>
        <w:ind w:left="57" w:right="887" w:firstLine="123"/>
        <w:jc w:val="both"/>
      </w:pPr>
      <w:r>
        <w:rPr/>
        <w:t>Art. 1º Esta Lei estima a receita e fixa a despesa do Município para o exercício financeiro de 2026, referente aos Poderes do Município, seus fundos, Órgãos e Entidades da Administração Indireta.</w:t>
      </w:r>
    </w:p>
    <w:p>
      <w:pPr>
        <w:pStyle w:val="BodyText"/>
        <w:spacing w:before="182"/>
        <w:ind w:left="206"/>
      </w:pPr>
      <w:r>
        <w:rPr/>
        <w:t>Parágrafo</w:t>
      </w:r>
      <w:r>
        <w:rPr>
          <w:spacing w:val="-8"/>
        </w:rPr>
        <w:t> </w:t>
      </w:r>
      <w:r>
        <w:rPr/>
        <w:t>único.</w:t>
      </w:r>
      <w:r>
        <w:rPr>
          <w:spacing w:val="-5"/>
        </w:rPr>
        <w:t> </w:t>
      </w:r>
      <w:r>
        <w:rPr/>
        <w:t>Constituem</w:t>
      </w:r>
      <w:r>
        <w:rPr>
          <w:spacing w:val="-6"/>
        </w:rPr>
        <w:t> </w:t>
      </w:r>
      <w:r>
        <w:rPr/>
        <w:t>anexos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fazem</w:t>
      </w:r>
      <w:r>
        <w:rPr>
          <w:spacing w:val="-6"/>
        </w:rPr>
        <w:t> </w:t>
      </w:r>
      <w:r>
        <w:rPr/>
        <w:t>parte</w:t>
      </w:r>
      <w:r>
        <w:rPr>
          <w:spacing w:val="-5"/>
        </w:rPr>
        <w:t> </w:t>
      </w:r>
      <w:r>
        <w:rPr/>
        <w:t>desta</w:t>
      </w:r>
      <w:r>
        <w:rPr>
          <w:spacing w:val="-5"/>
        </w:rPr>
        <w:t> </w:t>
      </w:r>
      <w:r>
        <w:rPr>
          <w:spacing w:val="-4"/>
        </w:rPr>
        <w:t>Lei:</w:t>
      </w:r>
    </w:p>
    <w:p>
      <w:pPr>
        <w:pStyle w:val="ListParagraph"/>
        <w:numPr>
          <w:ilvl w:val="0"/>
          <w:numId w:val="1"/>
        </w:numPr>
        <w:tabs>
          <w:tab w:pos="310" w:val="left" w:leader="none"/>
        </w:tabs>
        <w:spacing w:line="240" w:lineRule="auto" w:before="171" w:after="0"/>
        <w:ind w:left="310" w:right="0" w:hanging="104"/>
        <w:jc w:val="left"/>
        <w:rPr>
          <w:sz w:val="22"/>
        </w:rPr>
      </w:pPr>
      <w:r>
        <w:rPr>
          <w:sz w:val="22"/>
        </w:rPr>
        <w:t>–</w:t>
      </w:r>
      <w:r>
        <w:rPr>
          <w:spacing w:val="-3"/>
          <w:sz w:val="22"/>
        </w:rPr>
        <w:t> </w:t>
      </w:r>
      <w:r>
        <w:rPr>
          <w:sz w:val="22"/>
        </w:rPr>
        <w:t>anexos</w:t>
      </w:r>
      <w:r>
        <w:rPr>
          <w:spacing w:val="-3"/>
          <w:sz w:val="22"/>
        </w:rPr>
        <w:t> </w:t>
      </w:r>
      <w:r>
        <w:rPr>
          <w:sz w:val="22"/>
        </w:rPr>
        <w:t>orçamentários</w:t>
      </w:r>
      <w:r>
        <w:rPr>
          <w:spacing w:val="-3"/>
          <w:sz w:val="22"/>
        </w:rPr>
        <w:t> </w:t>
      </w:r>
      <w:r>
        <w:rPr>
          <w:sz w:val="22"/>
        </w:rPr>
        <w:t>nos</w:t>
      </w:r>
      <w:r>
        <w:rPr>
          <w:spacing w:val="-3"/>
          <w:sz w:val="22"/>
        </w:rPr>
        <w:t> </w:t>
      </w:r>
      <w:r>
        <w:rPr>
          <w:sz w:val="22"/>
        </w:rPr>
        <w:t>1,</w:t>
      </w:r>
      <w:r>
        <w:rPr>
          <w:spacing w:val="-3"/>
          <w:sz w:val="22"/>
        </w:rPr>
        <w:t> </w:t>
      </w:r>
      <w:r>
        <w:rPr>
          <w:sz w:val="22"/>
        </w:rPr>
        <w:t>2,</w:t>
      </w:r>
      <w:r>
        <w:rPr>
          <w:spacing w:val="-3"/>
          <w:sz w:val="22"/>
        </w:rPr>
        <w:t> </w:t>
      </w:r>
      <w:r>
        <w:rPr>
          <w:sz w:val="22"/>
        </w:rPr>
        <w:t>6,</w:t>
      </w:r>
      <w:r>
        <w:rPr>
          <w:spacing w:val="-2"/>
          <w:sz w:val="22"/>
        </w:rPr>
        <w:t> </w:t>
      </w:r>
      <w:r>
        <w:rPr>
          <w:sz w:val="22"/>
        </w:rPr>
        <w:t>7,</w:t>
      </w:r>
      <w:r>
        <w:rPr>
          <w:spacing w:val="-3"/>
          <w:sz w:val="22"/>
        </w:rPr>
        <w:t> </w:t>
      </w:r>
      <w:r>
        <w:rPr>
          <w:sz w:val="22"/>
        </w:rPr>
        <w:t>8</w:t>
      </w:r>
      <w:r>
        <w:rPr>
          <w:spacing w:val="-3"/>
          <w:sz w:val="22"/>
        </w:rPr>
        <w:t> </w:t>
      </w:r>
      <w:r>
        <w:rPr>
          <w:sz w:val="22"/>
        </w:rPr>
        <w:t>e</w:t>
      </w:r>
      <w:r>
        <w:rPr>
          <w:spacing w:val="-3"/>
          <w:sz w:val="22"/>
        </w:rPr>
        <w:t> </w:t>
      </w:r>
      <w:r>
        <w:rPr>
          <w:sz w:val="22"/>
        </w:rPr>
        <w:t>9</w:t>
      </w:r>
      <w:r>
        <w:rPr>
          <w:spacing w:val="-3"/>
          <w:sz w:val="22"/>
        </w:rPr>
        <w:t> </w:t>
      </w:r>
      <w:r>
        <w:rPr>
          <w:sz w:val="22"/>
        </w:rPr>
        <w:t>da</w:t>
      </w:r>
      <w:r>
        <w:rPr>
          <w:spacing w:val="-3"/>
          <w:sz w:val="22"/>
        </w:rPr>
        <w:t> </w:t>
      </w:r>
      <w:r>
        <w:rPr>
          <w:sz w:val="22"/>
        </w:rPr>
        <w:t>Lei</w:t>
      </w:r>
      <w:r>
        <w:rPr>
          <w:spacing w:val="-3"/>
          <w:sz w:val="22"/>
        </w:rPr>
        <w:t> </w:t>
      </w:r>
      <w:r>
        <w:rPr>
          <w:sz w:val="22"/>
        </w:rPr>
        <w:t>nº</w:t>
      </w:r>
      <w:r>
        <w:rPr>
          <w:spacing w:val="-2"/>
          <w:sz w:val="22"/>
        </w:rPr>
        <w:t> 4.320/64;</w:t>
      </w:r>
    </w:p>
    <w:p>
      <w:pPr>
        <w:pStyle w:val="ListParagraph"/>
        <w:numPr>
          <w:ilvl w:val="0"/>
          <w:numId w:val="1"/>
        </w:numPr>
        <w:tabs>
          <w:tab w:pos="381" w:val="left" w:leader="none"/>
        </w:tabs>
        <w:spacing w:line="196" w:lineRule="auto" w:before="209" w:after="0"/>
        <w:ind w:left="57" w:right="889" w:firstLine="149"/>
        <w:jc w:val="both"/>
        <w:rPr>
          <w:sz w:val="22"/>
        </w:rPr>
      </w:pPr>
      <w:r>
        <w:rPr>
          <w:sz w:val="22"/>
        </w:rPr>
        <w:t>– demonstrativo e metodologia de cálculo da receita, nos termos do art. 12 da Lei Complementar</w:t>
      </w:r>
      <w:r>
        <w:rPr>
          <w:spacing w:val="40"/>
          <w:sz w:val="22"/>
        </w:rPr>
        <w:t> </w:t>
      </w:r>
      <w:r>
        <w:rPr>
          <w:sz w:val="22"/>
        </w:rPr>
        <w:t>no 101, de 2000 (LRF), para o exercício a que se refere a proposta e os dois seguintes, a receita realizada dos três últimos exercícios encerrados e a prevista para o ano corrente;</w:t>
      </w:r>
    </w:p>
    <w:p>
      <w:pPr>
        <w:pStyle w:val="ListParagraph"/>
        <w:numPr>
          <w:ilvl w:val="0"/>
          <w:numId w:val="1"/>
        </w:numPr>
        <w:tabs>
          <w:tab w:pos="419" w:val="left" w:leader="none"/>
        </w:tabs>
        <w:spacing w:line="240" w:lineRule="auto" w:before="182" w:after="0"/>
        <w:ind w:left="419" w:right="0" w:hanging="213"/>
        <w:jc w:val="left"/>
        <w:rPr>
          <w:sz w:val="22"/>
        </w:rPr>
      </w:pPr>
      <w:r>
        <w:rPr>
          <w:sz w:val="22"/>
        </w:rPr>
        <w:t>-</w:t>
      </w:r>
      <w:r>
        <w:rPr>
          <w:spacing w:val="-6"/>
          <w:sz w:val="22"/>
        </w:rPr>
        <w:t> </w:t>
      </w:r>
      <w:r>
        <w:rPr>
          <w:sz w:val="22"/>
        </w:rPr>
        <w:t>demonstrativo</w:t>
      </w:r>
      <w:r>
        <w:rPr>
          <w:spacing w:val="-3"/>
          <w:sz w:val="22"/>
        </w:rPr>
        <w:t> </w:t>
      </w:r>
      <w:r>
        <w:rPr>
          <w:sz w:val="22"/>
        </w:rPr>
        <w:t>da</w:t>
      </w:r>
      <w:r>
        <w:rPr>
          <w:spacing w:val="-3"/>
          <w:sz w:val="22"/>
        </w:rPr>
        <w:t> </w:t>
      </w:r>
      <w:r>
        <w:rPr>
          <w:sz w:val="22"/>
        </w:rPr>
        <w:t>estimativa</w:t>
      </w:r>
      <w:r>
        <w:rPr>
          <w:spacing w:val="-4"/>
          <w:sz w:val="22"/>
        </w:rPr>
        <w:t> </w:t>
      </w:r>
      <w:r>
        <w:rPr>
          <w:sz w:val="22"/>
        </w:rPr>
        <w:t>e</w:t>
      </w:r>
      <w:r>
        <w:rPr>
          <w:spacing w:val="-3"/>
          <w:sz w:val="22"/>
        </w:rPr>
        <w:t> </w:t>
      </w:r>
      <w:r>
        <w:rPr>
          <w:sz w:val="22"/>
        </w:rPr>
        <w:t>compensação</w:t>
      </w:r>
      <w:r>
        <w:rPr>
          <w:spacing w:val="-3"/>
          <w:sz w:val="22"/>
        </w:rPr>
        <w:t> </w:t>
      </w:r>
      <w:r>
        <w:rPr>
          <w:sz w:val="22"/>
        </w:rPr>
        <w:t>da</w:t>
      </w:r>
      <w:r>
        <w:rPr>
          <w:spacing w:val="-4"/>
          <w:sz w:val="22"/>
        </w:rPr>
        <w:t> </w:t>
      </w:r>
      <w:r>
        <w:rPr>
          <w:sz w:val="22"/>
        </w:rPr>
        <w:t>renúncia</w:t>
      </w:r>
      <w:r>
        <w:rPr>
          <w:spacing w:val="-3"/>
          <w:sz w:val="22"/>
        </w:rPr>
        <w:t> </w:t>
      </w:r>
      <w:r>
        <w:rPr>
          <w:sz w:val="22"/>
        </w:rPr>
        <w:t>da</w:t>
      </w:r>
      <w:r>
        <w:rPr>
          <w:spacing w:val="-3"/>
          <w:sz w:val="22"/>
        </w:rPr>
        <w:t> </w:t>
      </w:r>
      <w:r>
        <w:rPr>
          <w:sz w:val="22"/>
        </w:rPr>
        <w:t>receita</w:t>
      </w:r>
      <w:r>
        <w:rPr>
          <w:spacing w:val="-4"/>
          <w:sz w:val="22"/>
        </w:rPr>
        <w:t> </w:t>
      </w:r>
      <w:r>
        <w:rPr>
          <w:sz w:val="22"/>
        </w:rPr>
        <w:t>(LRF,</w:t>
      </w:r>
      <w:r>
        <w:rPr>
          <w:spacing w:val="-3"/>
          <w:sz w:val="22"/>
        </w:rPr>
        <w:t> </w:t>
      </w:r>
      <w:r>
        <w:rPr>
          <w:sz w:val="22"/>
        </w:rPr>
        <w:t>art.</w:t>
      </w:r>
      <w:r>
        <w:rPr>
          <w:spacing w:val="-3"/>
          <w:sz w:val="22"/>
        </w:rPr>
        <w:t> </w:t>
      </w:r>
      <w:r>
        <w:rPr>
          <w:sz w:val="22"/>
        </w:rPr>
        <w:t>5o</w:t>
      </w:r>
      <w:r>
        <w:rPr>
          <w:spacing w:val="-4"/>
          <w:sz w:val="22"/>
        </w:rPr>
        <w:t> </w:t>
      </w:r>
      <w:r>
        <w:rPr>
          <w:sz w:val="22"/>
        </w:rPr>
        <w:t>,</w:t>
      </w:r>
      <w:r>
        <w:rPr>
          <w:spacing w:val="-3"/>
          <w:sz w:val="22"/>
        </w:rPr>
        <w:t> </w:t>
      </w:r>
      <w:r>
        <w:rPr>
          <w:sz w:val="22"/>
        </w:rPr>
        <w:t>inciso</w:t>
      </w:r>
      <w:r>
        <w:rPr>
          <w:spacing w:val="-3"/>
          <w:sz w:val="22"/>
        </w:rPr>
        <w:t> </w:t>
      </w:r>
      <w:r>
        <w:rPr>
          <w:spacing w:val="-4"/>
          <w:sz w:val="22"/>
        </w:rPr>
        <w:t>II);</w:t>
      </w:r>
    </w:p>
    <w:p>
      <w:pPr>
        <w:pStyle w:val="ListParagraph"/>
        <w:numPr>
          <w:ilvl w:val="0"/>
          <w:numId w:val="1"/>
        </w:numPr>
        <w:tabs>
          <w:tab w:pos="458" w:val="left" w:leader="none"/>
        </w:tabs>
        <w:spacing w:line="196" w:lineRule="auto" w:before="209" w:after="0"/>
        <w:ind w:left="57" w:right="890" w:firstLine="149"/>
        <w:jc w:val="both"/>
        <w:rPr>
          <w:sz w:val="22"/>
        </w:rPr>
      </w:pPr>
      <w:r>
        <w:rPr>
          <w:sz w:val="22"/>
        </w:rPr>
        <w:t>– demonstrativo da margem de expansão das despesas obrigatórias de caráter continuado (LRF, art. 5o , inciso II);</w:t>
      </w:r>
    </w:p>
    <w:p>
      <w:pPr>
        <w:pStyle w:val="ListParagraph"/>
        <w:numPr>
          <w:ilvl w:val="0"/>
          <w:numId w:val="1"/>
        </w:numPr>
        <w:tabs>
          <w:tab w:pos="379" w:val="left" w:leader="none"/>
        </w:tabs>
        <w:spacing w:line="240" w:lineRule="auto" w:before="182" w:after="0"/>
        <w:ind w:left="379" w:right="0" w:hanging="173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anexo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compatibilidade</w:t>
      </w:r>
      <w:r>
        <w:rPr>
          <w:spacing w:val="-5"/>
          <w:sz w:val="22"/>
        </w:rPr>
        <w:t> </w:t>
      </w:r>
      <w:r>
        <w:rPr>
          <w:sz w:val="22"/>
        </w:rPr>
        <w:t>do</w:t>
      </w:r>
      <w:r>
        <w:rPr>
          <w:spacing w:val="-4"/>
          <w:sz w:val="22"/>
        </w:rPr>
        <w:t> </w:t>
      </w:r>
      <w:r>
        <w:rPr>
          <w:sz w:val="22"/>
        </w:rPr>
        <w:t>orçamento</w:t>
      </w:r>
      <w:r>
        <w:rPr>
          <w:spacing w:val="-4"/>
          <w:sz w:val="22"/>
        </w:rPr>
        <w:t> </w:t>
      </w:r>
      <w:r>
        <w:rPr>
          <w:sz w:val="22"/>
        </w:rPr>
        <w:t>com</w:t>
      </w:r>
      <w:r>
        <w:rPr>
          <w:spacing w:val="-5"/>
          <w:sz w:val="22"/>
        </w:rPr>
        <w:t> </w:t>
      </w:r>
      <w:r>
        <w:rPr>
          <w:sz w:val="22"/>
        </w:rPr>
        <w:t>o</w:t>
      </w:r>
      <w:r>
        <w:rPr>
          <w:spacing w:val="-4"/>
          <w:sz w:val="22"/>
        </w:rPr>
        <w:t> </w:t>
      </w:r>
      <w:r>
        <w:rPr>
          <w:sz w:val="22"/>
        </w:rPr>
        <w:t>anexo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metas</w:t>
      </w:r>
      <w:r>
        <w:rPr>
          <w:spacing w:val="-4"/>
          <w:sz w:val="22"/>
        </w:rPr>
        <w:t> </w:t>
      </w:r>
      <w:r>
        <w:rPr>
          <w:sz w:val="22"/>
        </w:rPr>
        <w:t>fiscais</w:t>
      </w:r>
      <w:r>
        <w:rPr>
          <w:spacing w:val="-4"/>
          <w:sz w:val="22"/>
        </w:rPr>
        <w:t> </w:t>
      </w:r>
      <w:r>
        <w:rPr>
          <w:sz w:val="22"/>
        </w:rPr>
        <w:t>(LRF,</w:t>
      </w:r>
      <w:r>
        <w:rPr>
          <w:spacing w:val="-5"/>
          <w:sz w:val="22"/>
        </w:rPr>
        <w:t> </w:t>
      </w:r>
      <w:r>
        <w:rPr>
          <w:sz w:val="22"/>
        </w:rPr>
        <w:t>art.</w:t>
      </w:r>
      <w:r>
        <w:rPr>
          <w:spacing w:val="-4"/>
          <w:sz w:val="22"/>
        </w:rPr>
        <w:t> </w:t>
      </w:r>
      <w:r>
        <w:rPr>
          <w:sz w:val="22"/>
        </w:rPr>
        <w:t>5o</w:t>
      </w:r>
      <w:r>
        <w:rPr>
          <w:spacing w:val="-4"/>
          <w:sz w:val="22"/>
        </w:rPr>
        <w:t> </w:t>
      </w:r>
      <w:r>
        <w:rPr>
          <w:sz w:val="22"/>
        </w:rPr>
        <w:t>,</w:t>
      </w:r>
      <w:r>
        <w:rPr>
          <w:spacing w:val="-4"/>
          <w:sz w:val="22"/>
        </w:rPr>
        <w:t> </w:t>
      </w:r>
      <w:r>
        <w:rPr>
          <w:spacing w:val="-5"/>
          <w:sz w:val="22"/>
        </w:rPr>
        <w:t>I);</w:t>
      </w:r>
    </w:p>
    <w:p>
      <w:pPr>
        <w:pStyle w:val="ListParagraph"/>
        <w:numPr>
          <w:ilvl w:val="0"/>
          <w:numId w:val="1"/>
        </w:numPr>
        <w:tabs>
          <w:tab w:pos="470" w:val="left" w:leader="none"/>
        </w:tabs>
        <w:spacing w:line="196" w:lineRule="auto" w:before="209" w:after="0"/>
        <w:ind w:left="57" w:right="888" w:firstLine="149"/>
        <w:jc w:val="both"/>
        <w:rPr>
          <w:sz w:val="22"/>
        </w:rPr>
      </w:pPr>
      <w:r>
        <w:rPr>
          <w:sz w:val="22"/>
        </w:rPr>
        <w:t>– demonstrativo da Receita Corrente Líquida (RCL) projetada para 2026 (LRF, art. 12, § 3o ) e projeção das despesas com pessoal;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</w:tabs>
        <w:spacing w:line="196" w:lineRule="auto" w:before="220" w:after="0"/>
        <w:ind w:left="57" w:right="888" w:firstLine="149"/>
        <w:jc w:val="both"/>
        <w:rPr>
          <w:sz w:val="22"/>
        </w:rPr>
      </w:pPr>
      <w:r>
        <w:rPr>
          <w:sz w:val="22"/>
        </w:rPr>
        <w:t>– demonstrativo da receita base para ASPS, MDE e respectivas aplicações (fonte 500 e CO 1001 e </w:t>
      </w:r>
      <w:r>
        <w:rPr>
          <w:spacing w:val="-2"/>
          <w:sz w:val="22"/>
        </w:rPr>
        <w:t>1002).</w:t>
      </w:r>
    </w:p>
    <w:p>
      <w:pPr>
        <w:pStyle w:val="BodyText"/>
        <w:spacing w:line="196" w:lineRule="auto" w:before="219"/>
        <w:ind w:left="57" w:right="887" w:firstLine="149"/>
        <w:jc w:val="both"/>
      </w:pPr>
      <w:r>
        <w:rPr/>
        <w:t>Art. 2º A estrutura programática da despesa orçamentária, no que diz respeito à natureza da</w:t>
      </w:r>
      <w:r>
        <w:rPr>
          <w:spacing w:val="80"/>
        </w:rPr>
        <w:t> </w:t>
      </w:r>
      <w:r>
        <w:rPr/>
        <w:t>despesa, é apresentada, para efeitos desta Lei, até o nível de modalidade de aplicação.</w:t>
      </w:r>
    </w:p>
    <w:p>
      <w:pPr>
        <w:pStyle w:val="BodyText"/>
        <w:spacing w:line="196" w:lineRule="auto" w:before="220"/>
        <w:ind w:left="57" w:right="888" w:firstLine="149"/>
        <w:jc w:val="both"/>
      </w:pPr>
      <w:r>
        <w:rPr/>
        <w:t>Art. 3º Fica autorizado ao Poder Executivo a abrir por decreto créditos adicionais suplementares na Administração Direta e Indireta, observados os arts. 8o , 9o e 13 da Lei Complementar no 101, de</w:t>
      </w:r>
      <w:r>
        <w:rPr>
          <w:spacing w:val="80"/>
        </w:rPr>
        <w:t> </w:t>
      </w:r>
      <w:r>
        <w:rPr/>
        <w:t>2000, mediante a utilização dos recursos:</w:t>
      </w:r>
    </w:p>
    <w:p>
      <w:pPr>
        <w:pStyle w:val="ListParagraph"/>
        <w:numPr>
          <w:ilvl w:val="0"/>
          <w:numId w:val="2"/>
        </w:numPr>
        <w:tabs>
          <w:tab w:pos="321" w:val="left" w:leader="none"/>
        </w:tabs>
        <w:spacing w:line="196" w:lineRule="auto" w:before="219" w:after="0"/>
        <w:ind w:left="57" w:right="888" w:firstLine="149"/>
        <w:jc w:val="both"/>
        <w:rPr>
          <w:sz w:val="22"/>
        </w:rPr>
      </w:pPr>
      <w:r>
        <w:rPr>
          <w:sz w:val="22"/>
        </w:rPr>
        <w:t>- da anulação parcial ou total de dotações orçamentárias, nos termos do art. 43, § 1o , inciso III, da Lei no 4.320, de 17 de março de 1964, até o limite de 35 % da despesa fixada atualizada pelos créditos adicionais no exercício;</w:t>
      </w:r>
    </w:p>
    <w:p>
      <w:pPr>
        <w:pStyle w:val="ListParagraph"/>
        <w:numPr>
          <w:ilvl w:val="0"/>
          <w:numId w:val="2"/>
        </w:numPr>
        <w:tabs>
          <w:tab w:pos="364" w:val="left" w:leader="none"/>
        </w:tabs>
        <w:spacing w:line="240" w:lineRule="auto" w:before="182" w:after="0"/>
        <w:ind w:left="364" w:right="0" w:hanging="158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da</w:t>
      </w:r>
      <w:r>
        <w:rPr>
          <w:spacing w:val="-4"/>
          <w:sz w:val="22"/>
        </w:rPr>
        <w:t> </w:t>
      </w:r>
      <w:r>
        <w:rPr>
          <w:sz w:val="22"/>
        </w:rPr>
        <w:t>Reserva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Contingência,</w:t>
      </w:r>
      <w:r>
        <w:rPr>
          <w:spacing w:val="-4"/>
          <w:sz w:val="22"/>
        </w:rPr>
        <w:t> </w:t>
      </w:r>
      <w:r>
        <w:rPr>
          <w:sz w:val="22"/>
        </w:rPr>
        <w:t>com</w:t>
      </w:r>
      <w:r>
        <w:rPr>
          <w:spacing w:val="-4"/>
          <w:sz w:val="22"/>
        </w:rPr>
        <w:t> </w:t>
      </w:r>
      <w:r>
        <w:rPr>
          <w:sz w:val="22"/>
        </w:rPr>
        <w:t>valores</w:t>
      </w:r>
      <w:r>
        <w:rPr>
          <w:spacing w:val="-4"/>
          <w:sz w:val="22"/>
        </w:rPr>
        <w:t> </w:t>
      </w:r>
      <w:r>
        <w:rPr>
          <w:sz w:val="22"/>
        </w:rPr>
        <w:t>específicos</w:t>
      </w:r>
      <w:r>
        <w:rPr>
          <w:spacing w:val="-5"/>
          <w:sz w:val="22"/>
        </w:rPr>
        <w:t> </w:t>
      </w:r>
      <w:r>
        <w:rPr>
          <w:sz w:val="22"/>
        </w:rPr>
        <w:t>para</w:t>
      </w:r>
      <w:r>
        <w:rPr>
          <w:spacing w:val="-4"/>
          <w:sz w:val="22"/>
        </w:rPr>
        <w:t> </w:t>
      </w:r>
      <w:r>
        <w:rPr>
          <w:sz w:val="22"/>
        </w:rPr>
        <w:t>este</w:t>
      </w:r>
      <w:r>
        <w:rPr>
          <w:spacing w:val="-4"/>
          <w:sz w:val="22"/>
        </w:rPr>
        <w:t> </w:t>
      </w:r>
      <w:r>
        <w:rPr>
          <w:sz w:val="22"/>
        </w:rPr>
        <w:t>fim</w:t>
      </w:r>
      <w:r>
        <w:rPr>
          <w:spacing w:val="-4"/>
          <w:sz w:val="22"/>
        </w:rPr>
        <w:t> </w:t>
      </w:r>
      <w:r>
        <w:rPr>
          <w:sz w:val="22"/>
        </w:rPr>
        <w:t>no</w:t>
      </w:r>
      <w:r>
        <w:rPr>
          <w:spacing w:val="-4"/>
          <w:sz w:val="22"/>
        </w:rPr>
        <w:t> </w:t>
      </w:r>
      <w:r>
        <w:rPr>
          <w:sz w:val="22"/>
        </w:rPr>
        <w:t>anexo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riscos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fiscais;</w:t>
      </w:r>
    </w:p>
    <w:p>
      <w:pPr>
        <w:pStyle w:val="ListParagraph"/>
        <w:numPr>
          <w:ilvl w:val="0"/>
          <w:numId w:val="2"/>
        </w:numPr>
        <w:tabs>
          <w:tab w:pos="419" w:val="left" w:leader="none"/>
        </w:tabs>
        <w:spacing w:line="240" w:lineRule="auto" w:before="171" w:after="0"/>
        <w:ind w:left="419" w:right="0" w:hanging="213"/>
        <w:jc w:val="left"/>
        <w:rPr>
          <w:sz w:val="22"/>
        </w:rPr>
      </w:pPr>
      <w:r>
        <w:rPr>
          <w:sz w:val="22"/>
        </w:rPr>
        <w:t>-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excesso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arrecadação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proveniente:</w:t>
      </w:r>
    </w:p>
    <w:p>
      <w:pPr>
        <w:pStyle w:val="ListParagraph"/>
        <w:numPr>
          <w:ilvl w:val="1"/>
          <w:numId w:val="2"/>
        </w:numPr>
        <w:tabs>
          <w:tab w:pos="447" w:val="left" w:leader="none"/>
        </w:tabs>
        <w:spacing w:line="196" w:lineRule="auto" w:before="209" w:after="0"/>
        <w:ind w:left="57" w:right="889" w:firstLine="149"/>
        <w:jc w:val="left"/>
        <w:rPr>
          <w:sz w:val="22"/>
        </w:rPr>
      </w:pPr>
      <w:r>
        <w:rPr>
          <w:sz w:val="22"/>
        </w:rPr>
        <w:t>de receitas vinculadas arrecadadas e a arrecadar, desde que para alocação nos mesmos créditos orçamentários em que os recursos dessas fontes foram originalmente programados;</w:t>
      </w:r>
    </w:p>
    <w:p>
      <w:pPr>
        <w:pStyle w:val="ListParagraph"/>
        <w:spacing w:after="0" w:line="196" w:lineRule="auto"/>
        <w:jc w:val="left"/>
        <w:rPr>
          <w:sz w:val="22"/>
        </w:rPr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700" w:right="0"/>
          <w:pgNumType w:start="1"/>
        </w:sectPr>
      </w:pPr>
    </w:p>
    <w:p>
      <w:pPr>
        <w:pStyle w:val="BodyText"/>
      </w:pPr>
    </w:p>
    <w:p>
      <w:pPr>
        <w:pStyle w:val="BodyText"/>
        <w:spacing w:before="178"/>
      </w:pPr>
    </w:p>
    <w:p>
      <w:pPr>
        <w:pStyle w:val="ListParagraph"/>
        <w:numPr>
          <w:ilvl w:val="1"/>
          <w:numId w:val="2"/>
        </w:numPr>
        <w:tabs>
          <w:tab w:pos="436" w:val="left" w:leader="none"/>
        </w:tabs>
        <w:spacing w:line="240" w:lineRule="auto" w:before="0" w:after="0"/>
        <w:ind w:left="436" w:right="0" w:hanging="230"/>
        <w:jc w:val="left"/>
        <w:rPr>
          <w:sz w:val="22"/>
        </w:rPr>
      </w:pPr>
      <w:r>
        <w:rPr>
          <w:sz w:val="22"/>
        </w:rPr>
        <w:t>de</w:t>
      </w:r>
      <w:r>
        <w:rPr>
          <w:spacing w:val="-8"/>
          <w:sz w:val="22"/>
        </w:rPr>
        <w:t> </w:t>
      </w:r>
      <w:r>
        <w:rPr>
          <w:sz w:val="22"/>
        </w:rPr>
        <w:t>recursos</w:t>
      </w:r>
      <w:r>
        <w:rPr>
          <w:spacing w:val="-5"/>
          <w:sz w:val="22"/>
        </w:rPr>
        <w:t> </w:t>
      </w:r>
      <w:r>
        <w:rPr>
          <w:sz w:val="22"/>
        </w:rPr>
        <w:t>não</w:t>
      </w:r>
      <w:r>
        <w:rPr>
          <w:spacing w:val="-5"/>
          <w:sz w:val="22"/>
        </w:rPr>
        <w:t> </w:t>
      </w:r>
      <w:r>
        <w:rPr>
          <w:sz w:val="22"/>
        </w:rPr>
        <w:t>vinculados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impostos</w:t>
      </w:r>
      <w:r>
        <w:rPr>
          <w:spacing w:val="-5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outros</w:t>
      </w:r>
      <w:r>
        <w:rPr>
          <w:spacing w:val="-5"/>
          <w:sz w:val="22"/>
        </w:rPr>
        <w:t> </w:t>
      </w:r>
      <w:r>
        <w:rPr>
          <w:sz w:val="22"/>
        </w:rPr>
        <w:t>recursos</w:t>
      </w:r>
      <w:r>
        <w:rPr>
          <w:spacing w:val="-5"/>
          <w:sz w:val="22"/>
        </w:rPr>
        <w:t> </w:t>
      </w:r>
      <w:r>
        <w:rPr>
          <w:sz w:val="22"/>
        </w:rPr>
        <w:t>não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vinculados;</w:t>
      </w:r>
    </w:p>
    <w:p>
      <w:pPr>
        <w:pStyle w:val="ListParagraph"/>
        <w:numPr>
          <w:ilvl w:val="0"/>
          <w:numId w:val="2"/>
        </w:numPr>
        <w:tabs>
          <w:tab w:pos="454" w:val="left" w:leader="none"/>
        </w:tabs>
        <w:spacing w:line="196" w:lineRule="auto" w:before="209" w:after="0"/>
        <w:ind w:left="57" w:right="891" w:firstLine="149"/>
        <w:jc w:val="left"/>
        <w:rPr>
          <w:sz w:val="22"/>
        </w:rPr>
      </w:pPr>
      <w:r>
        <w:rPr>
          <w:sz w:val="22"/>
        </w:rPr>
        <w:t>– do superávit financeiro apurado em balanço do exercício anterior, de acordo com as fontes de</w:t>
      </w:r>
      <w:r>
        <w:rPr>
          <w:spacing w:val="40"/>
          <w:sz w:val="22"/>
        </w:rPr>
        <w:t> </w:t>
      </w:r>
      <w:r>
        <w:rPr>
          <w:spacing w:val="-2"/>
          <w:sz w:val="22"/>
        </w:rPr>
        <w:t>recursos.</w:t>
      </w:r>
    </w:p>
    <w:p>
      <w:pPr>
        <w:pStyle w:val="BodyText"/>
        <w:spacing w:line="196" w:lineRule="auto" w:before="220"/>
        <w:ind w:left="57" w:firstLine="149"/>
      </w:pPr>
      <w:r>
        <w:rPr/>
        <w:t>Parágrafo</w:t>
      </w:r>
      <w:r>
        <w:rPr>
          <w:spacing w:val="33"/>
        </w:rPr>
        <w:t> </w:t>
      </w:r>
      <w:r>
        <w:rPr/>
        <w:t>único.</w:t>
      </w:r>
      <w:r>
        <w:rPr>
          <w:spacing w:val="33"/>
        </w:rPr>
        <w:t> </w:t>
      </w:r>
      <w:r>
        <w:rPr/>
        <w:t>As</w:t>
      </w:r>
      <w:r>
        <w:rPr>
          <w:spacing w:val="33"/>
        </w:rPr>
        <w:t> </w:t>
      </w:r>
      <w:r>
        <w:rPr/>
        <w:t>autorizações</w:t>
      </w:r>
      <w:r>
        <w:rPr>
          <w:spacing w:val="33"/>
        </w:rPr>
        <w:t> </w:t>
      </w:r>
      <w:r>
        <w:rPr/>
        <w:t>de</w:t>
      </w:r>
      <w:r>
        <w:rPr>
          <w:spacing w:val="33"/>
        </w:rPr>
        <w:t> </w:t>
      </w:r>
      <w:r>
        <w:rPr/>
        <w:t>que</w:t>
      </w:r>
      <w:r>
        <w:rPr>
          <w:spacing w:val="33"/>
        </w:rPr>
        <w:t> </w:t>
      </w:r>
      <w:r>
        <w:rPr/>
        <w:t>tratam</w:t>
      </w:r>
      <w:r>
        <w:rPr>
          <w:spacing w:val="33"/>
        </w:rPr>
        <w:t> </w:t>
      </w:r>
      <w:r>
        <w:rPr/>
        <w:t>os</w:t>
      </w:r>
      <w:r>
        <w:rPr>
          <w:spacing w:val="33"/>
        </w:rPr>
        <w:t> </w:t>
      </w:r>
      <w:r>
        <w:rPr/>
        <w:t>incisos</w:t>
      </w:r>
      <w:r>
        <w:rPr>
          <w:spacing w:val="33"/>
        </w:rPr>
        <w:t> </w:t>
      </w:r>
      <w:r>
        <w:rPr/>
        <w:t>I</w:t>
      </w:r>
      <w:r>
        <w:rPr>
          <w:spacing w:val="33"/>
        </w:rPr>
        <w:t> </w:t>
      </w:r>
      <w:r>
        <w:rPr/>
        <w:t>e</w:t>
      </w:r>
      <w:r>
        <w:rPr>
          <w:spacing w:val="33"/>
        </w:rPr>
        <w:t> </w:t>
      </w:r>
      <w:r>
        <w:rPr/>
        <w:t>II</w:t>
      </w:r>
      <w:r>
        <w:rPr>
          <w:spacing w:val="33"/>
        </w:rPr>
        <w:t> </w:t>
      </w:r>
      <w:r>
        <w:rPr/>
        <w:t>deste</w:t>
      </w:r>
      <w:r>
        <w:rPr>
          <w:spacing w:val="33"/>
        </w:rPr>
        <w:t> </w:t>
      </w:r>
      <w:r>
        <w:rPr/>
        <w:t>artigo</w:t>
      </w:r>
      <w:r>
        <w:rPr>
          <w:spacing w:val="33"/>
        </w:rPr>
        <w:t> </w:t>
      </w:r>
      <w:r>
        <w:rPr/>
        <w:t>aplicam-se</w:t>
      </w:r>
      <w:r>
        <w:rPr>
          <w:spacing w:val="33"/>
        </w:rPr>
        <w:t> </w:t>
      </w:r>
      <w:r>
        <w:rPr/>
        <w:t>ao</w:t>
      </w:r>
      <w:r>
        <w:rPr>
          <w:spacing w:val="33"/>
        </w:rPr>
        <w:t> </w:t>
      </w:r>
      <w:r>
        <w:rPr/>
        <w:t>Poder Legislativo, mediante resolução.</w:t>
      </w:r>
    </w:p>
    <w:p>
      <w:pPr>
        <w:pStyle w:val="BodyText"/>
        <w:spacing w:before="182"/>
        <w:ind w:left="206"/>
      </w:pPr>
      <w:r>
        <w:rPr/>
        <w:t>Art.</w:t>
      </w:r>
      <w:r>
        <w:rPr>
          <w:spacing w:val="-5"/>
        </w:rPr>
        <w:t> </w:t>
      </w:r>
      <w:r>
        <w:rPr/>
        <w:t>4º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2"/>
      </w:pPr>
    </w:p>
    <w:p>
      <w:pPr>
        <w:pStyle w:val="BodyText"/>
        <w:ind w:left="3052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7217155</wp:posOffset>
            </wp:positionH>
            <wp:positionV relativeFrom="paragraph">
              <wp:posOffset>115737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11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dezembro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41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2772156</wp:posOffset>
            </wp:positionH>
            <wp:positionV relativeFrom="paragraph">
              <wp:posOffset>323506</wp:posOffset>
            </wp:positionV>
            <wp:extent cx="2057142" cy="68580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32" w:lineRule="auto" w:before="23"/>
        <w:ind w:left="2826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4"/>
        <w:rPr>
          <w:rFonts w:ascii="Arial"/>
          <w:b/>
          <w:sz w:val="20"/>
        </w:rPr>
      </w:pPr>
    </w:p>
    <w:p>
      <w:pPr>
        <w:tabs>
          <w:tab w:pos="5819" w:val="left" w:leader="none"/>
        </w:tabs>
        <w:spacing w:before="0"/>
        <w:ind w:left="56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spacing w:before="85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1097788</wp:posOffset>
            </wp:positionH>
            <wp:positionV relativeFrom="paragraph">
              <wp:posOffset>273051</wp:posOffset>
            </wp:positionV>
            <wp:extent cx="2019718" cy="6667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718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4138112</wp:posOffset>
            </wp:positionH>
            <wp:positionV relativeFrom="paragraph">
              <wp:posOffset>215252</wp:posOffset>
            </wp:positionV>
            <wp:extent cx="2057142" cy="68580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660" w:val="left" w:leader="none"/>
          <w:tab w:pos="5524" w:val="left" w:leader="none"/>
        </w:tabs>
        <w:spacing w:line="232" w:lineRule="auto" w:before="0"/>
        <w:ind w:left="56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pgSz w:w="11910" w:h="16840"/>
      <w:pgMar w:header="390" w:footer="624" w:top="2040" w:bottom="82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5104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81376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34080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4592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81888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"/>
      <w:lvlJc w:val="left"/>
      <w:pPr>
        <w:ind w:left="311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08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97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5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74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62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51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39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28" w:hanging="105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"/>
      <w:numFmt w:val="upperRoman"/>
      <w:lvlText w:val="%1"/>
      <w:lvlJc w:val="left"/>
      <w:pPr>
        <w:ind w:left="57" w:hanging="116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1"/>
      <w:numFmt w:val="lowerLetter"/>
      <w:lvlText w:val="%2)"/>
      <w:lvlJc w:val="left"/>
      <w:pPr>
        <w:ind w:left="57" w:hanging="243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89" w:hanging="24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03" w:hanging="24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18" w:hanging="24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32" w:hanging="24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47" w:hanging="24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1" w:hanging="24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76" w:hanging="243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209"/>
      <w:ind w:left="57" w:firstLine="149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2025-12-23T14:05:17Z</dcterms:created>
  <dcterms:modified xsi:type="dcterms:W3CDTF">2025-12-23T14:05:17Z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2025-12-23T00:00:00Z</vt:filetime>
  </property>
  <property fmtid="{D5CDD505-2E9C-101B-9397-08002B2CF9AE}" pid="5" name="Producer">
    <vt:lpwstr>Bry Signer PDF 2.3.1</vt:lpwstr>
  </property>
</Properties>
</file>