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4493,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461"/>
      </w:pPr>
      <w:r>
        <w:rPr/>
        <w:t>Institui o Programa Escolas que Transformam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461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-47026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90" w:firstLine="149"/>
        <w:jc w:val="both"/>
      </w:pPr>
      <w:r>
        <w:rPr/>
        <w:t>Art. 1º Fica instituído o Programa Escolas que Transformam, com o objetivo de incentivar a adoção</w:t>
      </w:r>
      <w:r>
        <w:rPr>
          <w:spacing w:val="80"/>
        </w:rPr>
        <w:t> </w:t>
      </w:r>
      <w:r>
        <w:rPr/>
        <w:t>de práticas sustentáveis no ambiente escolar, promover a educação voltada à sustentabilidade e ao desenvolvimento sustentável no município de Gramado e reconhecer as escolas que se destacarem</w:t>
      </w:r>
      <w:r>
        <w:rPr>
          <w:spacing w:val="80"/>
          <w:w w:val="150"/>
        </w:rPr>
        <w:t> </w:t>
      </w:r>
      <w:r>
        <w:rPr/>
        <w:t>em ações socioambientais e de governança participativa.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4"/>
        </w:rPr>
        <w:t> </w:t>
      </w:r>
      <w:r>
        <w:rPr/>
        <w:t>2º</w:t>
      </w:r>
      <w:r>
        <w:rPr>
          <w:spacing w:val="-4"/>
        </w:rPr>
        <w:t> </w:t>
      </w:r>
      <w:r>
        <w:rPr/>
        <w:t>São</w:t>
      </w:r>
      <w:r>
        <w:rPr>
          <w:spacing w:val="-4"/>
        </w:rPr>
        <w:t> </w:t>
      </w:r>
      <w:r>
        <w:rPr/>
        <w:t>objetivos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>
          <w:spacing w:val="-2"/>
        </w:rPr>
        <w:t>Programa:</w:t>
      </w:r>
    </w:p>
    <w:p>
      <w:pPr>
        <w:pStyle w:val="ListParagraph"/>
        <w:numPr>
          <w:ilvl w:val="0"/>
          <w:numId w:val="1"/>
        </w:numPr>
        <w:tabs>
          <w:tab w:pos="310" w:val="left" w:leader="none"/>
        </w:tabs>
        <w:spacing w:line="240" w:lineRule="auto" w:before="171" w:after="0"/>
        <w:ind w:left="31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> </w:t>
      </w:r>
      <w:r>
        <w:rPr>
          <w:sz w:val="22"/>
        </w:rPr>
        <w:t>incentivar</w:t>
      </w:r>
      <w:r>
        <w:rPr>
          <w:spacing w:val="-5"/>
          <w:sz w:val="22"/>
        </w:rPr>
        <w:t> </w:t>
      </w:r>
      <w:r>
        <w:rPr>
          <w:sz w:val="22"/>
        </w:rPr>
        <w:t>as</w:t>
      </w:r>
      <w:r>
        <w:rPr>
          <w:spacing w:val="-6"/>
          <w:sz w:val="22"/>
        </w:rPr>
        <w:t> </w:t>
      </w:r>
      <w:r>
        <w:rPr>
          <w:sz w:val="22"/>
        </w:rPr>
        <w:t>escolas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adotarem</w:t>
      </w:r>
      <w:r>
        <w:rPr>
          <w:spacing w:val="-6"/>
          <w:sz w:val="22"/>
        </w:rPr>
        <w:t> </w:t>
      </w:r>
      <w:r>
        <w:rPr>
          <w:sz w:val="22"/>
        </w:rPr>
        <w:t>práticas</w:t>
      </w:r>
      <w:r>
        <w:rPr>
          <w:spacing w:val="-5"/>
          <w:sz w:val="22"/>
        </w:rPr>
        <w:t> </w:t>
      </w:r>
      <w:r>
        <w:rPr>
          <w:sz w:val="22"/>
        </w:rPr>
        <w:t>sustentáveis</w:t>
      </w:r>
      <w:r>
        <w:rPr>
          <w:spacing w:val="-6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seu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cotidiano;</w:t>
      </w:r>
    </w:p>
    <w:p>
      <w:pPr>
        <w:pStyle w:val="ListParagraph"/>
        <w:numPr>
          <w:ilvl w:val="0"/>
          <w:numId w:val="1"/>
        </w:numPr>
        <w:tabs>
          <w:tab w:pos="370" w:val="left" w:leader="none"/>
        </w:tabs>
        <w:spacing w:line="196" w:lineRule="auto" w:before="209" w:after="0"/>
        <w:ind w:left="57" w:right="892" w:firstLine="149"/>
        <w:jc w:val="both"/>
        <w:rPr>
          <w:sz w:val="22"/>
        </w:rPr>
      </w:pPr>
      <w:r>
        <w:rPr>
          <w:sz w:val="22"/>
        </w:rPr>
        <w:t>– estimular a comunidade escolar (alunos, professores, famílias e funcionários) a adotar práticas de cidadania, responsabilidade socioambiental e sustentabilidade;</w:t>
      </w:r>
    </w:p>
    <w:p>
      <w:pPr>
        <w:pStyle w:val="ListParagraph"/>
        <w:numPr>
          <w:ilvl w:val="0"/>
          <w:numId w:val="1"/>
        </w:numPr>
        <w:tabs>
          <w:tab w:pos="424" w:val="left" w:leader="none"/>
        </w:tabs>
        <w:spacing w:line="196" w:lineRule="auto" w:before="220" w:after="0"/>
        <w:ind w:left="57" w:right="891" w:firstLine="149"/>
        <w:jc w:val="left"/>
        <w:rPr>
          <w:sz w:val="22"/>
        </w:rPr>
      </w:pPr>
      <w:r>
        <w:rPr>
          <w:sz w:val="22"/>
        </w:rPr>
        <w:t>– reconhecer e premiar as escolas e alunos que mais se destacarem em ações ambientais, sociais e </w:t>
      </w:r>
      <w:r>
        <w:rPr>
          <w:spacing w:val="-2"/>
          <w:sz w:val="22"/>
        </w:rPr>
        <w:t>educativas;</w:t>
      </w:r>
    </w:p>
    <w:p>
      <w:pPr>
        <w:pStyle w:val="ListParagraph"/>
        <w:numPr>
          <w:ilvl w:val="0"/>
          <w:numId w:val="1"/>
        </w:numPr>
        <w:tabs>
          <w:tab w:pos="434" w:val="left" w:leader="none"/>
        </w:tabs>
        <w:spacing w:line="393" w:lineRule="auto" w:before="182" w:after="0"/>
        <w:ind w:left="206" w:right="1511" w:firstLine="0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z w:val="22"/>
        </w:rPr>
        <w:t>criar</w:t>
      </w:r>
      <w:r>
        <w:rPr>
          <w:spacing w:val="-4"/>
          <w:sz w:val="22"/>
        </w:rPr>
        <w:t> </w:t>
      </w:r>
      <w:r>
        <w:rPr>
          <w:sz w:val="22"/>
        </w:rPr>
        <w:t>uma</w:t>
      </w:r>
      <w:r>
        <w:rPr>
          <w:spacing w:val="-4"/>
          <w:sz w:val="22"/>
        </w:rPr>
        <w:t> </w:t>
      </w:r>
      <w:r>
        <w:rPr>
          <w:sz w:val="22"/>
        </w:rPr>
        <w:t>cultura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sustentabilidade</w:t>
      </w:r>
      <w:r>
        <w:rPr>
          <w:spacing w:val="-4"/>
          <w:sz w:val="22"/>
        </w:rPr>
        <w:t> </w:t>
      </w:r>
      <w:r>
        <w:rPr>
          <w:sz w:val="22"/>
        </w:rPr>
        <w:t>permanente</w:t>
      </w:r>
      <w:r>
        <w:rPr>
          <w:spacing w:val="-4"/>
          <w:sz w:val="22"/>
        </w:rPr>
        <w:t> </w:t>
      </w:r>
      <w:r>
        <w:rPr>
          <w:sz w:val="22"/>
        </w:rPr>
        <w:t>nas</w:t>
      </w:r>
      <w:r>
        <w:rPr>
          <w:spacing w:val="-4"/>
          <w:sz w:val="22"/>
        </w:rPr>
        <w:t> </w:t>
      </w:r>
      <w:r>
        <w:rPr>
          <w:sz w:val="22"/>
        </w:rPr>
        <w:t>instituições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ensino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município. Art. 3º Poderão participar do Programa:</w:t>
      </w:r>
    </w:p>
    <w:p>
      <w:pPr>
        <w:pStyle w:val="ListParagraph"/>
        <w:numPr>
          <w:ilvl w:val="0"/>
          <w:numId w:val="2"/>
        </w:numPr>
        <w:tabs>
          <w:tab w:pos="310" w:val="left" w:leader="none"/>
        </w:tabs>
        <w:spacing w:line="268" w:lineRule="exact" w:before="0" w:after="0"/>
        <w:ind w:left="31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> </w:t>
      </w:r>
      <w:r>
        <w:rPr>
          <w:sz w:val="22"/>
        </w:rPr>
        <w:t>escolas</w:t>
      </w:r>
      <w:r>
        <w:rPr>
          <w:spacing w:val="-6"/>
          <w:sz w:val="22"/>
        </w:rPr>
        <w:t> </w:t>
      </w:r>
      <w:r>
        <w:rPr>
          <w:sz w:val="22"/>
        </w:rPr>
        <w:t>municipais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Educação</w:t>
      </w:r>
      <w:r>
        <w:rPr>
          <w:spacing w:val="-6"/>
          <w:sz w:val="22"/>
        </w:rPr>
        <w:t> </w:t>
      </w:r>
      <w:r>
        <w:rPr>
          <w:sz w:val="22"/>
        </w:rPr>
        <w:t>Infantil</w:t>
      </w:r>
      <w:r>
        <w:rPr>
          <w:spacing w:val="-6"/>
          <w:sz w:val="22"/>
        </w:rPr>
        <w:t> </w:t>
      </w:r>
      <w:r>
        <w:rPr>
          <w:sz w:val="22"/>
        </w:rPr>
        <w:t>(EMEIs)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Ensino</w:t>
      </w:r>
      <w:r>
        <w:rPr>
          <w:spacing w:val="-6"/>
          <w:sz w:val="22"/>
        </w:rPr>
        <w:t> </w:t>
      </w:r>
      <w:r>
        <w:rPr>
          <w:sz w:val="22"/>
        </w:rPr>
        <w:t>Fundamental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(EMEFs);</w:t>
      </w:r>
    </w:p>
    <w:p>
      <w:pPr>
        <w:pStyle w:val="ListParagraph"/>
        <w:numPr>
          <w:ilvl w:val="0"/>
          <w:numId w:val="2"/>
        </w:numPr>
        <w:tabs>
          <w:tab w:pos="364" w:val="left" w:leader="none"/>
        </w:tabs>
        <w:spacing w:line="240" w:lineRule="auto" w:before="171" w:after="0"/>
        <w:ind w:left="364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> </w:t>
      </w:r>
      <w:r>
        <w:rPr>
          <w:sz w:val="22"/>
        </w:rPr>
        <w:t>escolas</w:t>
      </w:r>
      <w:r>
        <w:rPr>
          <w:spacing w:val="-6"/>
          <w:sz w:val="22"/>
        </w:rPr>
        <w:t> </w:t>
      </w:r>
      <w:r>
        <w:rPr>
          <w:sz w:val="22"/>
        </w:rPr>
        <w:t>estaduais</w:t>
      </w:r>
      <w:r>
        <w:rPr>
          <w:spacing w:val="-7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particulares,</w:t>
      </w:r>
      <w:r>
        <w:rPr>
          <w:spacing w:val="-7"/>
          <w:sz w:val="22"/>
        </w:rPr>
        <w:t> </w:t>
      </w:r>
      <w:r>
        <w:rPr>
          <w:sz w:val="22"/>
        </w:rPr>
        <w:t>mediante</w:t>
      </w:r>
      <w:r>
        <w:rPr>
          <w:spacing w:val="-6"/>
          <w:sz w:val="22"/>
        </w:rPr>
        <w:t> </w:t>
      </w:r>
      <w:r>
        <w:rPr>
          <w:sz w:val="22"/>
        </w:rPr>
        <w:t>adesão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voluntária.</w:t>
      </w:r>
    </w:p>
    <w:p>
      <w:pPr>
        <w:pStyle w:val="BodyText"/>
        <w:spacing w:line="196" w:lineRule="auto" w:before="209"/>
        <w:ind w:left="57" w:right="888" w:firstLine="149"/>
        <w:jc w:val="both"/>
      </w:pPr>
      <w:r>
        <w:rPr/>
        <w:t>Art. 4º O Programa será coordenado pela Escola do Legislativo e pela Comissão Especial Temporária de Desenvolvimento Sustentável - ou outra comissão com o mesmo propósito, que vier substituí-la na Câmara Municipal, podendo contar com parcerias e apoio de órgãos do Poder Executivo, bem como de instituições públicas, privadas e da sociedade civil.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2"/>
        </w:rPr>
        <w:t> </w:t>
      </w:r>
      <w:r>
        <w:rPr/>
        <w:t>5º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Programa</w:t>
      </w:r>
      <w:r>
        <w:rPr>
          <w:spacing w:val="-2"/>
        </w:rPr>
        <w:t> prevê:</w:t>
      </w:r>
    </w:p>
    <w:p>
      <w:pPr>
        <w:pStyle w:val="ListParagraph"/>
        <w:numPr>
          <w:ilvl w:val="0"/>
          <w:numId w:val="3"/>
        </w:numPr>
        <w:tabs>
          <w:tab w:pos="310" w:val="left" w:leader="none"/>
        </w:tabs>
        <w:spacing w:line="240" w:lineRule="auto" w:before="171" w:after="0"/>
        <w:ind w:left="31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adoção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práticas</w:t>
      </w:r>
      <w:r>
        <w:rPr>
          <w:spacing w:val="-6"/>
          <w:sz w:val="22"/>
        </w:rPr>
        <w:t> </w:t>
      </w:r>
      <w:r>
        <w:rPr>
          <w:sz w:val="22"/>
        </w:rPr>
        <w:t>sustentáveis,</w:t>
      </w:r>
      <w:r>
        <w:rPr>
          <w:spacing w:val="-5"/>
          <w:sz w:val="22"/>
        </w:rPr>
        <w:t> </w:t>
      </w:r>
      <w:r>
        <w:rPr>
          <w:sz w:val="22"/>
        </w:rPr>
        <w:t>organizadas</w:t>
      </w:r>
      <w:r>
        <w:rPr>
          <w:spacing w:val="-6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eixos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temáticos;</w:t>
      </w:r>
    </w:p>
    <w:p>
      <w:pPr>
        <w:pStyle w:val="ListParagraph"/>
        <w:numPr>
          <w:ilvl w:val="0"/>
          <w:numId w:val="3"/>
        </w:numPr>
        <w:tabs>
          <w:tab w:pos="364" w:val="left" w:leader="none"/>
        </w:tabs>
        <w:spacing w:line="240" w:lineRule="auto" w:before="172" w:after="0"/>
        <w:ind w:left="364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> </w:t>
      </w:r>
      <w:r>
        <w:rPr>
          <w:sz w:val="22"/>
        </w:rPr>
        <w:t>um</w:t>
      </w:r>
      <w:r>
        <w:rPr>
          <w:spacing w:val="-4"/>
          <w:sz w:val="22"/>
        </w:rPr>
        <w:t> </w:t>
      </w:r>
      <w:r>
        <w:rPr>
          <w:sz w:val="22"/>
        </w:rPr>
        <w:t>sistema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pontuação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certificação</w:t>
      </w:r>
      <w:r>
        <w:rPr>
          <w:spacing w:val="-4"/>
          <w:sz w:val="22"/>
        </w:rPr>
        <w:t> </w:t>
      </w:r>
      <w:r>
        <w:rPr>
          <w:sz w:val="22"/>
        </w:rPr>
        <w:t>das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escolas;</w:t>
      </w:r>
    </w:p>
    <w:p>
      <w:pPr>
        <w:pStyle w:val="ListParagraph"/>
        <w:numPr>
          <w:ilvl w:val="0"/>
          <w:numId w:val="3"/>
        </w:numPr>
        <w:tabs>
          <w:tab w:pos="419" w:val="left" w:leader="none"/>
        </w:tabs>
        <w:spacing w:line="240" w:lineRule="auto" w:before="171" w:after="0"/>
        <w:ind w:left="419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concessão</w:t>
      </w:r>
      <w:r>
        <w:rPr>
          <w:spacing w:val="-4"/>
          <w:sz w:val="22"/>
        </w:rPr>
        <w:t> </w:t>
      </w:r>
      <w:r>
        <w:rPr>
          <w:sz w:val="22"/>
        </w:rPr>
        <w:t>anual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Selo</w:t>
      </w:r>
      <w:r>
        <w:rPr>
          <w:spacing w:val="-4"/>
          <w:sz w:val="22"/>
        </w:rPr>
        <w:t> </w:t>
      </w:r>
      <w:r>
        <w:rPr>
          <w:sz w:val="22"/>
        </w:rPr>
        <w:t>Escola</w:t>
      </w:r>
      <w:r>
        <w:rPr>
          <w:spacing w:val="-4"/>
          <w:sz w:val="22"/>
        </w:rPr>
        <w:t> </w:t>
      </w:r>
      <w:r>
        <w:rPr>
          <w:sz w:val="22"/>
        </w:rPr>
        <w:t>Sustentável,</w:t>
      </w:r>
      <w:r>
        <w:rPr>
          <w:spacing w:val="-4"/>
          <w:sz w:val="22"/>
        </w:rPr>
        <w:t> </w:t>
      </w:r>
      <w:r>
        <w:rPr>
          <w:sz w:val="22"/>
        </w:rPr>
        <w:t>nos</w:t>
      </w:r>
      <w:r>
        <w:rPr>
          <w:spacing w:val="-4"/>
          <w:sz w:val="22"/>
        </w:rPr>
        <w:t> </w:t>
      </w:r>
      <w:r>
        <w:rPr>
          <w:sz w:val="22"/>
        </w:rPr>
        <w:t>níveis</w:t>
      </w:r>
      <w:r>
        <w:rPr>
          <w:spacing w:val="-4"/>
          <w:sz w:val="22"/>
        </w:rPr>
        <w:t> </w:t>
      </w:r>
      <w:r>
        <w:rPr>
          <w:sz w:val="22"/>
        </w:rPr>
        <w:t>Bronze,</w:t>
      </w:r>
      <w:r>
        <w:rPr>
          <w:spacing w:val="-4"/>
          <w:sz w:val="22"/>
        </w:rPr>
        <w:t> </w:t>
      </w:r>
      <w:r>
        <w:rPr>
          <w:sz w:val="22"/>
        </w:rPr>
        <w:t>Prata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Ouro;</w:t>
      </w:r>
    </w:p>
    <w:p>
      <w:pPr>
        <w:pStyle w:val="ListParagraph"/>
        <w:numPr>
          <w:ilvl w:val="0"/>
          <w:numId w:val="3"/>
        </w:numPr>
        <w:tabs>
          <w:tab w:pos="513" w:val="left" w:leader="none"/>
        </w:tabs>
        <w:spacing w:line="196" w:lineRule="auto" w:before="209" w:after="0"/>
        <w:ind w:left="57" w:right="889" w:firstLine="149"/>
        <w:jc w:val="both"/>
        <w:rPr>
          <w:sz w:val="22"/>
        </w:rPr>
      </w:pPr>
      <w:r>
        <w:rPr>
          <w:sz w:val="22"/>
        </w:rPr>
        <w:t>– a realização de premiação anual durante a Semana do Desenvolvimento Sustentável e Regenerativo de Gramado, contemplando as escolas mais bem avaliadas em categorias específicas e alunos mais engajados.</w:t>
      </w:r>
    </w:p>
    <w:p>
      <w:pPr>
        <w:pStyle w:val="ListParagraph"/>
        <w:spacing w:after="0" w:line="196" w:lineRule="auto"/>
        <w:jc w:val="both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64"/>
      </w:pPr>
    </w:p>
    <w:p>
      <w:pPr>
        <w:pStyle w:val="BodyText"/>
        <w:spacing w:line="196" w:lineRule="auto"/>
        <w:ind w:left="57" w:right="889" w:firstLine="149"/>
        <w:jc w:val="both"/>
      </w:pPr>
      <w:r>
        <w:rPr/>
        <w:t>Art. 6º A Câmara Municipal, por meio da Escola do Legislativo e da Comissão Especial Temporária de Desenvolvimento Sustentável - ou outra comissão que vier substituí-la com o mesmo propósito</w:t>
      </w:r>
      <w:r>
        <w:rPr>
          <w:spacing w:val="80"/>
        </w:rPr>
        <w:t> </w:t>
      </w:r>
      <w:r>
        <w:rPr/>
        <w:t>definirá a forma de adesão, acompanhamento, avaliação e premiação das escolas participantes, podendo editar regimento próprio.</w:t>
      </w:r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Art. 7º As despesas decorrentes da execução desta Lei poderão contar com recursos próprios e com</w:t>
      </w:r>
      <w:r>
        <w:rPr>
          <w:spacing w:val="80"/>
        </w:rPr>
        <w:t> </w:t>
      </w:r>
      <w:r>
        <w:rPr/>
        <w:t>o apoio de parcerias e patrocínios.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8º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left="3117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255233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spacing w:before="23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2652083</wp:posOffset>
            </wp:positionH>
            <wp:positionV relativeFrom="paragraph">
              <wp:posOffset>320480</wp:posOffset>
            </wp:positionV>
            <wp:extent cx="2057143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3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47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35104">
            <wp:simplePos x="0" y="0"/>
            <wp:positionH relativeFrom="page">
              <wp:posOffset>1065276</wp:posOffset>
            </wp:positionH>
            <wp:positionV relativeFrom="paragraph">
              <wp:posOffset>1041748</wp:posOffset>
            </wp:positionV>
            <wp:extent cx="2032000" cy="67741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5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4431623</wp:posOffset>
            </wp:positionH>
            <wp:positionV relativeFrom="paragraph">
              <wp:posOffset>228473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08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240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305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356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291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311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6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8" w:hanging="105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1"/>
      <w:numFmt w:val="upperRoman"/>
      <w:lvlText w:val="%1"/>
      <w:lvlJc w:val="left"/>
      <w:pPr>
        <w:ind w:left="311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6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8" w:hanging="105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"/>
      <w:lvlJc w:val="left"/>
      <w:pPr>
        <w:ind w:left="311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6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8" w:hanging="105"/>
      </w:pPr>
      <w:rPr>
        <w:rFonts w:hint="default"/>
        <w:lang w:val="pt-PT" w:eastAsia="en-US" w:bidi="ar-SA"/>
      </w:rPr>
    </w:lvl>
  </w:abstractNum>
  <w:num w:numId="1">
    <w:abstractNumId w:val="0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57" w:hanging="104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2025-12-23T14:21:04Z</dcterms:created>
  <dcterms:modified xsi:type="dcterms:W3CDTF">2025-12-23T14:21:04Z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