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160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COMPLEMENTAR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9,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4"/>
        <w:rPr>
          <w:rFonts w:ascii="Arial"/>
          <w:b/>
        </w:rPr>
      </w:pPr>
    </w:p>
    <w:p>
      <w:pPr>
        <w:spacing w:line="196" w:lineRule="auto" w:before="1"/>
        <w:ind w:left="4997" w:right="940" w:firstLine="0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Institui incentivo para a regularização de transações de compra e venda, de permuta e de dação em pagamento, por meio da redução da alíquota do Imposto de Transmissão de Bens Imóveis (ITBI).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22"/>
        <w:rPr>
          <w:sz w:val="22"/>
        </w:rPr>
      </w:pPr>
    </w:p>
    <w:p>
      <w:pPr>
        <w:spacing w:line="237" w:lineRule="auto" w:before="0"/>
        <w:ind w:left="340" w:right="360" w:firstLine="0"/>
        <w:jc w:val="left"/>
        <w:rPr>
          <w:rFonts w:ascii="Arial MT" w:hAnsi="Arial MT"/>
          <w:sz w:val="22"/>
        </w:rPr>
      </w:pPr>
      <w:r>
        <w:rPr>
          <w:rFonts w:ascii="Arial" w:hAnsi="Arial"/>
          <w:b/>
          <w:sz w:val="22"/>
        </w:rPr>
        <w:t>O</w:t>
      </w:r>
      <w:r>
        <w:rPr>
          <w:rFonts w:ascii="Arial" w:hAnsi="Arial"/>
          <w:b/>
          <w:spacing w:val="40"/>
          <w:sz w:val="22"/>
        </w:rPr>
        <w:t> </w:t>
      </w:r>
      <w:r>
        <w:rPr>
          <w:rFonts w:ascii="Arial" w:hAnsi="Arial"/>
          <w:b/>
          <w:sz w:val="22"/>
        </w:rPr>
        <w:t>PREFEITO</w:t>
      </w:r>
      <w:r>
        <w:rPr>
          <w:rFonts w:ascii="Arial" w:hAnsi="Arial"/>
          <w:b/>
          <w:spacing w:val="4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40"/>
          <w:sz w:val="22"/>
        </w:rPr>
        <w:t> </w:t>
      </w:r>
      <w:r>
        <w:rPr>
          <w:rFonts w:ascii="Arial" w:hAnsi="Arial"/>
          <w:b/>
          <w:sz w:val="22"/>
        </w:rPr>
        <w:t>GRAMADO,</w:t>
      </w:r>
      <w:r>
        <w:rPr>
          <w:rFonts w:ascii="Arial" w:hAnsi="Arial"/>
          <w:b/>
          <w:spacing w:val="40"/>
          <w:sz w:val="22"/>
        </w:rPr>
        <w:t> </w:t>
      </w:r>
      <w:r>
        <w:rPr>
          <w:rFonts w:ascii="Arial MT" w:hAnsi="Arial MT"/>
          <w:sz w:val="22"/>
        </w:rPr>
        <w:t>no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uso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de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suas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atribuições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legais,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FAÇO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SABER,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que</w:t>
      </w:r>
      <w:r>
        <w:rPr>
          <w:rFonts w:ascii="Arial MT" w:hAnsi="Arial MT"/>
          <w:spacing w:val="40"/>
          <w:sz w:val="22"/>
        </w:rPr>
        <w:t> </w:t>
      </w:r>
      <w:r>
        <w:rPr>
          <w:rFonts w:ascii="Arial MT" w:hAnsi="Arial MT"/>
          <w:sz w:val="22"/>
        </w:rPr>
        <w:t>a Câmara Municipal de Vereadores aprovou e eu sanciono e promulgo a seguinte Lei:</w:t>
      </w:r>
    </w:p>
    <w:p>
      <w:pPr>
        <w:pStyle w:val="BodyText"/>
        <w:rPr>
          <w:rFonts w:ascii="Arial MT"/>
          <w:sz w:val="22"/>
        </w:rPr>
      </w:pPr>
    </w:p>
    <w:p>
      <w:pPr>
        <w:pStyle w:val="BodyText"/>
        <w:spacing w:before="128"/>
        <w:rPr>
          <w:rFonts w:ascii="Arial MT"/>
          <w:sz w:val="22"/>
        </w:rPr>
      </w:pPr>
    </w:p>
    <w:p>
      <w:pPr>
        <w:pStyle w:val="BodyText"/>
        <w:spacing w:line="196" w:lineRule="auto"/>
        <w:ind w:left="341" w:right="887" w:firstLine="149"/>
        <w:jc w:val="both"/>
      </w:pPr>
      <w:r>
        <w:rPr/>
        <w:t>Art. 1º Fica instituído incentivo, por meio da redução de alíquota do Imposto de Transmissão de Bens Imóveis (ITBI), para a regularização das transações de compra e venda, de permuta e de dação em pagamento.</w:t>
      </w:r>
    </w:p>
    <w:p>
      <w:pPr>
        <w:pStyle w:val="BodyText"/>
        <w:spacing w:line="196" w:lineRule="auto" w:before="220"/>
        <w:ind w:left="341" w:right="889" w:firstLine="149"/>
        <w:jc w:val="both"/>
      </w:pPr>
      <w:r>
        <w:rPr/>
        <w:t>Parágrafo único. O incentivo referido no caput deste artigo é destinado aos contratos de promessa de compra e venda, de permuta e de dação em pagamento que estejam quitados</w:t>
      </w:r>
      <w:r>
        <w:rPr>
          <w:spacing w:val="80"/>
        </w:rPr>
        <w:t> </w:t>
      </w:r>
      <w:r>
        <w:rPr/>
        <w:t>ou não e que venham a ser formalizados por meio de escritura pública.</w:t>
      </w:r>
    </w:p>
    <w:p>
      <w:pPr>
        <w:pStyle w:val="BodyText"/>
        <w:spacing w:line="196" w:lineRule="auto" w:before="219"/>
        <w:ind w:left="341" w:right="886" w:firstLine="149"/>
        <w:jc w:val="both"/>
      </w:pPr>
      <w:r>
        <w:rPr/>
        <w:t>Art. 2º Fica estabelecida alíquota de 1,5% (um vírgula cinco por cento) para as transações de compra e venda, de permuta e de dação em pagamento realizadas até 31 de dezembro de 2023 que ainda não tenham sido formalizadas por escritura pública junto ao Tabelionato de Registro de Imóveis.</w:t>
      </w:r>
    </w:p>
    <w:p>
      <w:pPr>
        <w:pStyle w:val="BodyText"/>
        <w:spacing w:line="196" w:lineRule="auto" w:before="219"/>
        <w:ind w:left="341" w:right="887" w:firstLine="149"/>
        <w:jc w:val="both"/>
      </w:pPr>
      <w:r>
        <w:rPr/>
        <w:t>§ 1º Para fins de enquadramento no incentivo de que trata esta Lei Complementar, o contribuinte deverá apresentar 1 (um) dos seguintes documentos comprobatórios de que a transação ocorreu no período especificado no caput deste artigo: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</w:tabs>
        <w:spacing w:line="196" w:lineRule="auto" w:before="219" w:after="0"/>
        <w:ind w:left="341" w:right="888" w:firstLine="149"/>
        <w:jc w:val="both"/>
        <w:rPr>
          <w:sz w:val="24"/>
        </w:rPr>
      </w:pPr>
      <w:r>
        <w:rPr>
          <w:sz w:val="24"/>
        </w:rPr>
        <w:t>– contrato de promessa de compra e venda, de permuta ou de dação em pagamento realizado por instrumento público, na data da sua assinatura;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</w:tabs>
        <w:spacing w:line="196" w:lineRule="auto" w:before="220" w:after="0"/>
        <w:ind w:left="341" w:right="888" w:firstLine="149"/>
        <w:jc w:val="both"/>
        <w:rPr>
          <w:sz w:val="24"/>
        </w:rPr>
      </w:pPr>
      <w:r>
        <w:rPr>
          <w:sz w:val="24"/>
        </w:rPr>
        <w:t>– contrato de promessa de compra e venda, de permuta ou de dação em pagamento realizado por instrumento particular com firma reconhecida em cartório, desde que alguma das assinaturas tenha sido reconhecida até 31 de dezembro de 2023; ou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196" w:lineRule="auto" w:before="219" w:after="0"/>
        <w:ind w:left="341" w:right="888" w:firstLine="149"/>
        <w:jc w:val="both"/>
        <w:rPr>
          <w:sz w:val="24"/>
        </w:rPr>
      </w:pPr>
      <w:r>
        <w:rPr>
          <w:sz w:val="24"/>
        </w:rPr>
        <w:t>– contrato de promessa de compra e venda, de permuta ou de dação em pagamento realizado por instrumento particular sem firma reconhecida em cartório, acompanhado de, pelo menos, 1 (um) dos seguintes documentos que comprove a ocorrência da transação até</w:t>
      </w:r>
      <w:r>
        <w:rPr>
          <w:spacing w:val="80"/>
          <w:sz w:val="24"/>
        </w:rPr>
        <w:t> </w:t>
      </w:r>
      <w:r>
        <w:rPr>
          <w:sz w:val="24"/>
        </w:rPr>
        <w:t>31 de dezembro de 2023: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</w:tabs>
        <w:spacing w:line="240" w:lineRule="auto" w:before="178" w:after="0"/>
        <w:ind w:left="730" w:right="0" w:hanging="240"/>
        <w:jc w:val="left"/>
        <w:rPr>
          <w:sz w:val="24"/>
        </w:rPr>
      </w:pPr>
      <w:r>
        <w:rPr>
          <w:sz w:val="24"/>
        </w:rPr>
        <w:t>assinatura</w:t>
      </w:r>
      <w:r>
        <w:rPr>
          <w:spacing w:val="-6"/>
          <w:sz w:val="24"/>
        </w:rPr>
        <w:t> </w:t>
      </w:r>
      <w:r>
        <w:rPr>
          <w:sz w:val="24"/>
        </w:rPr>
        <w:t>eletrônica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digital</w:t>
      </w:r>
      <w:r>
        <w:rPr>
          <w:spacing w:val="-3"/>
          <w:sz w:val="24"/>
        </w:rPr>
        <w:t> </w:t>
      </w:r>
      <w:r>
        <w:rPr>
          <w:sz w:val="24"/>
        </w:rPr>
        <w:t>datadas</w:t>
      </w:r>
      <w:r>
        <w:rPr>
          <w:spacing w:val="-4"/>
          <w:sz w:val="24"/>
        </w:rPr>
        <w:t> </w:t>
      </w:r>
      <w:r>
        <w:rPr>
          <w:sz w:val="24"/>
        </w:rPr>
        <w:t>até</w:t>
      </w:r>
      <w:r>
        <w:rPr>
          <w:spacing w:val="-3"/>
          <w:sz w:val="24"/>
        </w:rPr>
        <w:t> </w:t>
      </w:r>
      <w:r>
        <w:rPr>
          <w:sz w:val="24"/>
        </w:rPr>
        <w:t>31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dezembro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2023;</w:t>
      </w:r>
    </w:p>
    <w:p>
      <w:pPr>
        <w:pStyle w:val="ListParagraph"/>
        <w:numPr>
          <w:ilvl w:val="1"/>
          <w:numId w:val="1"/>
        </w:numPr>
        <w:tabs>
          <w:tab w:pos="741" w:val="left" w:leader="none"/>
        </w:tabs>
        <w:spacing w:line="240" w:lineRule="auto" w:before="167" w:after="0"/>
        <w:ind w:left="741" w:right="0" w:hanging="251"/>
        <w:jc w:val="left"/>
        <w:rPr>
          <w:sz w:val="24"/>
        </w:rPr>
      </w:pPr>
      <w:r>
        <w:rPr>
          <w:sz w:val="24"/>
        </w:rPr>
        <w:t>decisão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judicial;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67" w:after="0"/>
        <w:ind w:left="749" w:right="0" w:hanging="259"/>
        <w:jc w:val="left"/>
        <w:rPr>
          <w:sz w:val="24"/>
        </w:rPr>
      </w:pPr>
      <w:r>
        <w:rPr>
          <w:sz w:val="24"/>
        </w:rPr>
        <w:t>declaração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imposto</w:t>
      </w:r>
      <w:r>
        <w:rPr>
          <w:spacing w:val="29"/>
          <w:sz w:val="24"/>
        </w:rPr>
        <w:t> </w:t>
      </w:r>
      <w:r>
        <w:rPr>
          <w:sz w:val="24"/>
        </w:rPr>
        <w:t>de</w:t>
      </w:r>
      <w:r>
        <w:rPr>
          <w:spacing w:val="29"/>
          <w:sz w:val="24"/>
        </w:rPr>
        <w:t> </w:t>
      </w:r>
      <w:r>
        <w:rPr>
          <w:sz w:val="24"/>
        </w:rPr>
        <w:t>renda</w:t>
      </w:r>
      <w:r>
        <w:rPr>
          <w:spacing w:val="29"/>
          <w:sz w:val="24"/>
        </w:rPr>
        <w:t> </w:t>
      </w:r>
      <w:r>
        <w:rPr>
          <w:sz w:val="24"/>
        </w:rPr>
        <w:t>na</w:t>
      </w:r>
      <w:r>
        <w:rPr>
          <w:spacing w:val="29"/>
          <w:sz w:val="24"/>
        </w:rPr>
        <w:t> </w:t>
      </w:r>
      <w:r>
        <w:rPr>
          <w:sz w:val="24"/>
        </w:rPr>
        <w:t>qual</w:t>
      </w:r>
      <w:r>
        <w:rPr>
          <w:spacing w:val="29"/>
          <w:sz w:val="24"/>
        </w:rPr>
        <w:t> </w:t>
      </w:r>
      <w:r>
        <w:rPr>
          <w:sz w:val="24"/>
        </w:rPr>
        <w:t>conste</w:t>
      </w:r>
      <w:r>
        <w:rPr>
          <w:spacing w:val="30"/>
          <w:sz w:val="24"/>
        </w:rPr>
        <w:t> </w:t>
      </w:r>
      <w:r>
        <w:rPr>
          <w:sz w:val="24"/>
        </w:rPr>
        <w:t>a</w:t>
      </w:r>
      <w:r>
        <w:rPr>
          <w:spacing w:val="29"/>
          <w:sz w:val="24"/>
        </w:rPr>
        <w:t> </w:t>
      </w:r>
      <w:r>
        <w:rPr>
          <w:sz w:val="24"/>
        </w:rPr>
        <w:t>indicação</w:t>
      </w:r>
      <w:r>
        <w:rPr>
          <w:spacing w:val="29"/>
          <w:sz w:val="24"/>
        </w:rPr>
        <w:t> </w:t>
      </w:r>
      <w:r>
        <w:rPr>
          <w:sz w:val="24"/>
        </w:rPr>
        <w:t>da</w:t>
      </w:r>
      <w:r>
        <w:rPr>
          <w:spacing w:val="29"/>
          <w:sz w:val="24"/>
        </w:rPr>
        <w:t> </w:t>
      </w:r>
      <w:r>
        <w:rPr>
          <w:sz w:val="24"/>
        </w:rPr>
        <w:t>aquisição</w:t>
      </w:r>
      <w:r>
        <w:rPr>
          <w:spacing w:val="29"/>
          <w:sz w:val="24"/>
        </w:rPr>
        <w:t> </w:t>
      </w:r>
      <w:r>
        <w:rPr>
          <w:sz w:val="24"/>
        </w:rPr>
        <w:t>e</w:t>
      </w:r>
      <w:r>
        <w:rPr>
          <w:spacing w:val="29"/>
          <w:sz w:val="24"/>
        </w:rPr>
        <w:t> </w:t>
      </w:r>
      <w:r>
        <w:rPr>
          <w:sz w:val="24"/>
        </w:rPr>
        <w:t>que</w:t>
      </w:r>
      <w:r>
        <w:rPr>
          <w:spacing w:val="29"/>
          <w:sz w:val="24"/>
        </w:rPr>
        <w:t> </w:t>
      </w:r>
      <w:r>
        <w:rPr>
          <w:sz w:val="24"/>
        </w:rPr>
        <w:t>seja</w:t>
      </w:r>
      <w:r>
        <w:rPr>
          <w:spacing w:val="30"/>
          <w:sz w:val="24"/>
        </w:rPr>
        <w:t> </w:t>
      </w:r>
      <w:r>
        <w:rPr>
          <w:spacing w:val="-5"/>
          <w:sz w:val="24"/>
        </w:rPr>
        <w:t>de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417" w:right="0"/>
          <w:pgNumType w:start="1"/>
        </w:sectPr>
      </w:pPr>
    </w:p>
    <w:p>
      <w:pPr>
        <w:pStyle w:val="BodyText"/>
        <w:spacing w:before="199"/>
      </w:pPr>
    </w:p>
    <w:p>
      <w:pPr>
        <w:pStyle w:val="BodyText"/>
        <w:ind w:left="341"/>
      </w:pPr>
      <w:r>
        <w:rPr/>
        <w:t>ano-base</w:t>
      </w:r>
      <w:r>
        <w:rPr>
          <w:spacing w:val="-7"/>
        </w:rPr>
        <w:t> </w:t>
      </w:r>
      <w:r>
        <w:rPr/>
        <w:t>anterior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31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2023;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196" w:lineRule="auto" w:before="209" w:after="0"/>
        <w:ind w:left="341" w:right="891" w:firstLine="149"/>
        <w:jc w:val="left"/>
        <w:rPr>
          <w:sz w:val="24"/>
        </w:rPr>
      </w:pPr>
      <w:r>
        <w:rPr>
          <w:sz w:val="24"/>
        </w:rPr>
        <w:t>comprovante bancário de que houve pagamento, ainda que parcial, efetuado até 31 de</w:t>
      </w:r>
      <w:r>
        <w:rPr>
          <w:spacing w:val="80"/>
          <w:sz w:val="24"/>
        </w:rPr>
        <w:t> </w:t>
      </w:r>
      <w:r>
        <w:rPr>
          <w:sz w:val="24"/>
        </w:rPr>
        <w:t>dezembro de 2023, referente ao contrato apresentado; ou</w:t>
      </w:r>
    </w:p>
    <w:p>
      <w:pPr>
        <w:pStyle w:val="ListParagraph"/>
        <w:numPr>
          <w:ilvl w:val="1"/>
          <w:numId w:val="1"/>
        </w:numPr>
        <w:tabs>
          <w:tab w:pos="782" w:val="left" w:leader="none"/>
        </w:tabs>
        <w:spacing w:line="196" w:lineRule="auto" w:before="219" w:after="0"/>
        <w:ind w:left="341" w:right="888" w:firstLine="149"/>
        <w:jc w:val="left"/>
        <w:rPr>
          <w:sz w:val="24"/>
        </w:rPr>
      </w:pPr>
      <w:r>
        <w:rPr>
          <w:sz w:val="24"/>
        </w:rPr>
        <w:t>termo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quitação</w:t>
      </w:r>
      <w:r>
        <w:rPr>
          <w:spacing w:val="40"/>
          <w:sz w:val="24"/>
        </w:rPr>
        <w:t> </w:t>
      </w:r>
      <w:r>
        <w:rPr>
          <w:sz w:val="24"/>
        </w:rPr>
        <w:t>com</w:t>
      </w:r>
      <w:r>
        <w:rPr>
          <w:spacing w:val="40"/>
          <w:sz w:val="24"/>
        </w:rPr>
        <w:t> </w:t>
      </w:r>
      <w:r>
        <w:rPr>
          <w:sz w:val="24"/>
        </w:rPr>
        <w:t>firma</w:t>
      </w:r>
      <w:r>
        <w:rPr>
          <w:spacing w:val="40"/>
          <w:sz w:val="24"/>
        </w:rPr>
        <w:t> </w:t>
      </w:r>
      <w:r>
        <w:rPr>
          <w:sz w:val="24"/>
        </w:rPr>
        <w:t>reconhecida,</w:t>
      </w:r>
      <w:r>
        <w:rPr>
          <w:spacing w:val="40"/>
          <w:sz w:val="24"/>
        </w:rPr>
        <w:t> </w:t>
      </w:r>
      <w:r>
        <w:rPr>
          <w:sz w:val="24"/>
        </w:rPr>
        <w:t>assinatura</w:t>
      </w:r>
      <w:r>
        <w:rPr>
          <w:spacing w:val="40"/>
          <w:sz w:val="24"/>
        </w:rPr>
        <w:t> </w:t>
      </w:r>
      <w:r>
        <w:rPr>
          <w:sz w:val="24"/>
        </w:rPr>
        <w:t>eletrônica</w:t>
      </w:r>
      <w:r>
        <w:rPr>
          <w:spacing w:val="40"/>
          <w:sz w:val="24"/>
        </w:rPr>
        <w:t> </w:t>
      </w:r>
      <w:r>
        <w:rPr>
          <w:sz w:val="24"/>
        </w:rPr>
        <w:t>ou</w:t>
      </w:r>
      <w:r>
        <w:rPr>
          <w:spacing w:val="40"/>
          <w:sz w:val="24"/>
        </w:rPr>
        <w:t> </w:t>
      </w:r>
      <w:r>
        <w:rPr>
          <w:sz w:val="24"/>
        </w:rPr>
        <w:t>digital,</w:t>
      </w:r>
      <w:r>
        <w:rPr>
          <w:spacing w:val="40"/>
          <w:sz w:val="24"/>
        </w:rPr>
        <w:t> </w:t>
      </w:r>
      <w:r>
        <w:rPr>
          <w:sz w:val="24"/>
        </w:rPr>
        <w:t>até</w:t>
      </w:r>
      <w:r>
        <w:rPr>
          <w:spacing w:val="40"/>
          <w:sz w:val="24"/>
        </w:rPr>
        <w:t> </w:t>
      </w:r>
      <w:r>
        <w:rPr>
          <w:sz w:val="24"/>
        </w:rPr>
        <w:t>31</w:t>
      </w:r>
      <w:r>
        <w:rPr>
          <w:spacing w:val="40"/>
          <w:sz w:val="24"/>
        </w:rPr>
        <w:t> </w:t>
      </w:r>
      <w:r>
        <w:rPr>
          <w:sz w:val="24"/>
        </w:rPr>
        <w:t>de dezembro de 2023.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196" w:lineRule="auto" w:before="220" w:after="0"/>
        <w:ind w:left="341" w:right="888" w:firstLine="149"/>
        <w:jc w:val="left"/>
        <w:rPr>
          <w:sz w:val="24"/>
        </w:rPr>
      </w:pPr>
      <w:r>
        <w:rPr>
          <w:sz w:val="24"/>
        </w:rPr>
        <w:t>outros</w:t>
      </w:r>
      <w:r>
        <w:rPr>
          <w:spacing w:val="40"/>
          <w:sz w:val="24"/>
        </w:rPr>
        <w:t> </w:t>
      </w:r>
      <w:r>
        <w:rPr>
          <w:sz w:val="24"/>
        </w:rPr>
        <w:t>documentos</w:t>
      </w:r>
      <w:r>
        <w:rPr>
          <w:spacing w:val="40"/>
          <w:sz w:val="24"/>
        </w:rPr>
        <w:t> </w:t>
      </w:r>
      <w:r>
        <w:rPr>
          <w:sz w:val="24"/>
        </w:rPr>
        <w:t>comprobatórios</w:t>
      </w:r>
      <w:r>
        <w:rPr>
          <w:spacing w:val="40"/>
          <w:sz w:val="24"/>
        </w:rPr>
        <w:t> </w:t>
      </w:r>
      <w:r>
        <w:rPr>
          <w:sz w:val="24"/>
        </w:rPr>
        <w:t>idôneos,</w:t>
      </w:r>
      <w:r>
        <w:rPr>
          <w:spacing w:val="40"/>
          <w:sz w:val="24"/>
        </w:rPr>
        <w:t> </w:t>
      </w:r>
      <w:r>
        <w:rPr>
          <w:sz w:val="24"/>
        </w:rPr>
        <w:t>que</w:t>
      </w:r>
      <w:r>
        <w:rPr>
          <w:spacing w:val="40"/>
          <w:sz w:val="24"/>
        </w:rPr>
        <w:t> </w:t>
      </w:r>
      <w:r>
        <w:rPr>
          <w:sz w:val="24"/>
        </w:rPr>
        <w:t>possam</w:t>
      </w:r>
      <w:r>
        <w:rPr>
          <w:spacing w:val="40"/>
          <w:sz w:val="24"/>
        </w:rPr>
        <w:t> </w:t>
      </w:r>
      <w:r>
        <w:rPr>
          <w:sz w:val="24"/>
        </w:rPr>
        <w:t>atestar</w:t>
      </w:r>
      <w:r>
        <w:rPr>
          <w:spacing w:val="40"/>
          <w:sz w:val="24"/>
        </w:rPr>
        <w:t> </w:t>
      </w:r>
      <w:r>
        <w:rPr>
          <w:sz w:val="24"/>
        </w:rPr>
        <w:t>transação</w:t>
      </w:r>
      <w:r>
        <w:rPr>
          <w:spacing w:val="40"/>
          <w:sz w:val="24"/>
        </w:rPr>
        <w:t> </w:t>
      </w:r>
      <w:r>
        <w:rPr>
          <w:sz w:val="24"/>
        </w:rPr>
        <w:t>imobiliária realizada até 31 de dezembro de 2023.</w:t>
      </w:r>
    </w:p>
    <w:p>
      <w:pPr>
        <w:pStyle w:val="BodyText"/>
        <w:spacing w:line="196" w:lineRule="auto" w:before="219"/>
        <w:ind w:left="341" w:right="888" w:firstLine="149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407103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§ 2º A alíquota de 1,5% (um vírgula cinco por cento) será aplicada sobre a base de cálculo</w:t>
      </w:r>
      <w:r>
        <w:rPr>
          <w:spacing w:val="80"/>
        </w:rPr>
        <w:t> </w:t>
      </w:r>
      <w:r>
        <w:rPr/>
        <w:t>até o limite de R$ 2.000.000,00 (dois milhões de reais) e, sobre o valor restante, será aplicada alíquota fixada ao art. 33 da Lei nº 2.158, de 18 de dezembro de 2003.</w:t>
      </w:r>
    </w:p>
    <w:p>
      <w:pPr>
        <w:pStyle w:val="BodyText"/>
        <w:spacing w:line="196" w:lineRule="auto" w:before="220"/>
        <w:ind w:left="341" w:right="888" w:firstLine="149"/>
        <w:jc w:val="both"/>
      </w:pPr>
      <w:r>
        <w:rPr/>
        <w:t>Art. 3º O incentivo de que trata esta Lei Complementar terá vigência para as guias de ITBI solicitadas à Secretaria Municipal da Fazenda (SMF) através de Processo Digital, disponível no Portal de Autoatendimento, no período de 5 de janeiro a 30 de junho de 2026, referentes às transações de compra e venda, de permuta e de dação em pagamento que atendam às exigências previstas nesta Lei Complementar.</w:t>
      </w:r>
    </w:p>
    <w:p>
      <w:pPr>
        <w:pStyle w:val="BodyText"/>
        <w:spacing w:line="196" w:lineRule="auto" w:before="218"/>
        <w:ind w:left="341" w:right="889" w:firstLine="149"/>
        <w:jc w:val="both"/>
      </w:pPr>
      <w:r>
        <w:rPr/>
        <w:t>§ 1º A guia de ITBI somente será considerada incluída quando efetuada a solicitação de estimativa pelo contribuinte ou seu representante, desde que devidamente acompanhada</w:t>
      </w:r>
      <w:r>
        <w:rPr>
          <w:spacing w:val="80"/>
          <w:w w:val="150"/>
        </w:rPr>
        <w:t> </w:t>
      </w:r>
      <w:r>
        <w:rPr/>
        <w:t>dos documentos citados no § 1º do art. 2º desta Lei Complementar.</w:t>
      </w:r>
    </w:p>
    <w:p>
      <w:pPr>
        <w:pStyle w:val="BodyText"/>
        <w:spacing w:line="196" w:lineRule="auto" w:before="220"/>
        <w:ind w:left="341" w:right="888" w:firstLine="149"/>
        <w:jc w:val="both"/>
      </w:pPr>
      <w:r>
        <w:rPr/>
        <w:t>§ 2º A guia de ITBI e a escritura que será lavrada deverão manter consonância com as informações constantes no contrato de promessa de compra e venda, de permuta ou de</w:t>
      </w:r>
      <w:r>
        <w:rPr>
          <w:spacing w:val="80"/>
        </w:rPr>
        <w:t> </w:t>
      </w:r>
      <w:r>
        <w:rPr/>
        <w:t>dação de pagamento.</w:t>
      </w:r>
    </w:p>
    <w:p>
      <w:pPr>
        <w:pStyle w:val="BodyText"/>
        <w:spacing w:line="196" w:lineRule="auto" w:before="219"/>
        <w:ind w:left="341" w:right="888" w:firstLine="149"/>
        <w:jc w:val="both"/>
      </w:pPr>
      <w:r>
        <w:rPr/>
        <w:t>§ 3º Para cada matrícula a ser transmitida, independente do instrumento de transmissão, deverá ser incluída uma única guia de ITBI, que deverá apresentar todos os imóveis a que se refere a matrícula.</w:t>
      </w:r>
    </w:p>
    <w:p>
      <w:pPr>
        <w:pStyle w:val="BodyText"/>
        <w:spacing w:before="178"/>
        <w:ind w:left="490"/>
      </w:pPr>
      <w:r>
        <w:rPr/>
        <w:t>§</w:t>
      </w:r>
      <w:r>
        <w:rPr>
          <w:spacing w:val="-7"/>
        </w:rPr>
        <w:t> </w:t>
      </w:r>
      <w:r>
        <w:rPr/>
        <w:t>4º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solicitação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não</w:t>
      </w:r>
      <w:r>
        <w:rPr>
          <w:spacing w:val="-4"/>
        </w:rPr>
        <w:t> </w:t>
      </w:r>
      <w:r>
        <w:rPr/>
        <w:t>atender</w:t>
      </w:r>
      <w:r>
        <w:rPr>
          <w:spacing w:val="-5"/>
        </w:rPr>
        <w:t> </w:t>
      </w:r>
      <w:r>
        <w:rPr/>
        <w:t>ao</w:t>
      </w:r>
      <w:r>
        <w:rPr>
          <w:spacing w:val="-4"/>
        </w:rPr>
        <w:t> </w:t>
      </w:r>
      <w:r>
        <w:rPr/>
        <w:t>previsto</w:t>
      </w:r>
      <w:r>
        <w:rPr>
          <w:spacing w:val="-4"/>
        </w:rPr>
        <w:t> </w:t>
      </w:r>
      <w:r>
        <w:rPr/>
        <w:t>neste</w:t>
      </w:r>
      <w:r>
        <w:rPr>
          <w:spacing w:val="-4"/>
        </w:rPr>
        <w:t> </w:t>
      </w:r>
      <w:r>
        <w:rPr/>
        <w:t>artigo</w:t>
      </w:r>
      <w:r>
        <w:rPr>
          <w:spacing w:val="-4"/>
        </w:rPr>
        <w:t> </w:t>
      </w:r>
      <w:r>
        <w:rPr/>
        <w:t>será</w:t>
      </w:r>
      <w:r>
        <w:rPr>
          <w:spacing w:val="-4"/>
        </w:rPr>
        <w:t> </w:t>
      </w:r>
      <w:r>
        <w:rPr>
          <w:spacing w:val="-2"/>
        </w:rPr>
        <w:t>cancelada.</w:t>
      </w:r>
    </w:p>
    <w:p>
      <w:pPr>
        <w:pStyle w:val="BodyText"/>
        <w:spacing w:line="196" w:lineRule="auto" w:before="208"/>
        <w:ind w:left="341" w:right="889" w:firstLine="149"/>
        <w:jc w:val="both"/>
      </w:pPr>
      <w:r>
        <w:rPr/>
        <w:t>Art. 4º As solicitações de guias de ITBI serão objeto de exame pela SMF, inclusive no que</w:t>
      </w:r>
      <w:r>
        <w:rPr>
          <w:spacing w:val="80"/>
        </w:rPr>
        <w:t> </w:t>
      </w:r>
      <w:r>
        <w:rPr/>
        <w:t>toca aos valores declarados, observado o disposto no Decreto Municipal nº 1.022, de 08 de setembro de 2022 e na Lei nº 2.158, de 18 de dezembro de 2003.</w:t>
      </w:r>
    </w:p>
    <w:p>
      <w:pPr>
        <w:pStyle w:val="BodyText"/>
        <w:spacing w:before="178"/>
        <w:ind w:left="490"/>
      </w:pPr>
      <w:r>
        <w:rPr/>
        <w:t>§</w:t>
      </w:r>
      <w:r>
        <w:rPr>
          <w:spacing w:val="-6"/>
        </w:rPr>
        <w:t> </w:t>
      </w:r>
      <w:r>
        <w:rPr/>
        <w:t>1º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deferimento,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guia</w:t>
      </w:r>
      <w:r>
        <w:rPr>
          <w:spacing w:val="-3"/>
        </w:rPr>
        <w:t> </w:t>
      </w:r>
      <w:r>
        <w:rPr/>
        <w:t>será</w:t>
      </w:r>
      <w:r>
        <w:rPr>
          <w:spacing w:val="-4"/>
        </w:rPr>
        <w:t> </w:t>
      </w:r>
      <w:r>
        <w:rPr/>
        <w:t>enviada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mesmo</w:t>
      </w:r>
      <w:r>
        <w:rPr>
          <w:spacing w:val="-3"/>
        </w:rPr>
        <w:t> </w:t>
      </w:r>
      <w:r>
        <w:rPr/>
        <w:t>Processo</w:t>
      </w:r>
      <w:r>
        <w:rPr>
          <w:spacing w:val="-3"/>
        </w:rPr>
        <w:t> </w:t>
      </w:r>
      <w:r>
        <w:rPr>
          <w:spacing w:val="-2"/>
        </w:rPr>
        <w:t>Digital.</w:t>
      </w:r>
    </w:p>
    <w:p>
      <w:pPr>
        <w:pStyle w:val="BodyText"/>
        <w:spacing w:before="167"/>
        <w:ind w:left="490"/>
      </w:pPr>
      <w:r>
        <w:rPr/>
        <w:t>§</w:t>
      </w:r>
      <w:r>
        <w:rPr>
          <w:spacing w:val="-7"/>
        </w:rPr>
        <w:t> </w:t>
      </w:r>
      <w:r>
        <w:rPr/>
        <w:t>2º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caso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indeferimento,</w:t>
      </w:r>
      <w:r>
        <w:rPr>
          <w:spacing w:val="-5"/>
        </w:rPr>
        <w:t> </w:t>
      </w:r>
      <w:r>
        <w:rPr/>
        <w:t>o</w:t>
      </w:r>
      <w:r>
        <w:rPr>
          <w:spacing w:val="-5"/>
        </w:rPr>
        <w:t> </w:t>
      </w:r>
      <w:r>
        <w:rPr/>
        <w:t>contribuinte</w:t>
      </w:r>
      <w:r>
        <w:rPr>
          <w:spacing w:val="-5"/>
        </w:rPr>
        <w:t> </w:t>
      </w:r>
      <w:r>
        <w:rPr/>
        <w:t>será</w:t>
      </w:r>
      <w:r>
        <w:rPr>
          <w:spacing w:val="-5"/>
        </w:rPr>
        <w:t> </w:t>
      </w:r>
      <w:r>
        <w:rPr/>
        <w:t>notificado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mesmo</w:t>
      </w:r>
      <w:r>
        <w:rPr>
          <w:spacing w:val="-5"/>
        </w:rPr>
        <w:t> </w:t>
      </w:r>
      <w:r>
        <w:rPr/>
        <w:t>Processo</w:t>
      </w:r>
      <w:r>
        <w:rPr>
          <w:spacing w:val="-4"/>
        </w:rPr>
        <w:t> </w:t>
      </w:r>
      <w:r>
        <w:rPr>
          <w:spacing w:val="-2"/>
        </w:rPr>
        <w:t>Digital.</w:t>
      </w:r>
    </w:p>
    <w:p>
      <w:pPr>
        <w:pStyle w:val="BodyText"/>
        <w:spacing w:line="196" w:lineRule="auto" w:before="209"/>
        <w:ind w:left="341" w:right="889" w:firstLine="149"/>
        <w:jc w:val="both"/>
      </w:pPr>
      <w:r>
        <w:rPr/>
        <w:t>§ 3º No caso referido no § 2º deste artigo, o contribuinte poderá requerer revisão, no prazo de 15 (quinze) dias úteis, contados do indeferimento, por meio de processo administrativo a ser protocolado no Portal de Serviços da SMF.</w:t>
      </w:r>
    </w:p>
    <w:p>
      <w:pPr>
        <w:pStyle w:val="BodyText"/>
        <w:spacing w:line="196" w:lineRule="auto" w:before="219"/>
        <w:ind w:left="341" w:right="889" w:firstLine="149"/>
        <w:jc w:val="both"/>
      </w:pPr>
      <w:r>
        <w:rPr/>
        <w:t>§ 4º A análise do pedido de revisão previsto no § 3º deste artigo será efetuada pela Procuradoria da Fazenda.</w:t>
      </w:r>
    </w:p>
    <w:p>
      <w:pPr>
        <w:pStyle w:val="BodyText"/>
        <w:spacing w:line="196" w:lineRule="auto" w:before="219"/>
        <w:ind w:left="341" w:right="888" w:firstLine="149"/>
        <w:jc w:val="both"/>
      </w:pPr>
      <w:r>
        <w:rPr/>
        <w:t>Art. 5º A guia de ITBI emitida nos termos desta Lei Complementar terá validade de 60 (sessenta) dias para pagamento.</w:t>
      </w:r>
    </w:p>
    <w:p>
      <w:pPr>
        <w:pStyle w:val="BodyText"/>
        <w:spacing w:line="196" w:lineRule="auto" w:before="220"/>
        <w:ind w:left="341" w:right="888" w:firstLine="149"/>
        <w:jc w:val="both"/>
      </w:pPr>
      <w:r>
        <w:rPr/>
        <w:t>Parágrafo único. A falta de pagamento até a data de vencimento da guia de ITBI acarretará a perda total e imediata do incentivo previsto nesta Lei Complementar.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417" w:right="0"/>
        </w:sectPr>
      </w:pPr>
    </w:p>
    <w:p>
      <w:pPr>
        <w:pStyle w:val="BodyText"/>
      </w:pPr>
    </w:p>
    <w:p>
      <w:pPr>
        <w:pStyle w:val="BodyText"/>
        <w:spacing w:before="167"/>
      </w:pPr>
    </w:p>
    <w:p>
      <w:pPr>
        <w:pStyle w:val="BodyText"/>
        <w:spacing w:line="196" w:lineRule="auto" w:before="1"/>
        <w:ind w:left="341" w:right="360" w:firstLine="149"/>
      </w:pPr>
      <w:r>
        <w:rPr/>
        <w:t>Art.</w:t>
      </w:r>
      <w:r>
        <w:rPr>
          <w:spacing w:val="31"/>
        </w:rPr>
        <w:t> </w:t>
      </w:r>
      <w:r>
        <w:rPr/>
        <w:t>6º</w:t>
      </w:r>
      <w:r>
        <w:rPr>
          <w:spacing w:val="31"/>
        </w:rPr>
        <w:t> </w:t>
      </w:r>
      <w:r>
        <w:rPr/>
        <w:t>Não</w:t>
      </w:r>
      <w:r>
        <w:rPr>
          <w:spacing w:val="31"/>
        </w:rPr>
        <w:t> </w:t>
      </w:r>
      <w:r>
        <w:rPr/>
        <w:t>será</w:t>
      </w:r>
      <w:r>
        <w:rPr>
          <w:spacing w:val="31"/>
        </w:rPr>
        <w:t> </w:t>
      </w:r>
      <w:r>
        <w:rPr/>
        <w:t>concedido</w:t>
      </w:r>
      <w:r>
        <w:rPr>
          <w:spacing w:val="31"/>
        </w:rPr>
        <w:t> </w:t>
      </w:r>
      <w:r>
        <w:rPr/>
        <w:t>o</w:t>
      </w:r>
      <w:r>
        <w:rPr>
          <w:spacing w:val="31"/>
        </w:rPr>
        <w:t> </w:t>
      </w:r>
      <w:r>
        <w:rPr/>
        <w:t>benefício</w:t>
      </w:r>
      <w:r>
        <w:rPr>
          <w:spacing w:val="31"/>
        </w:rPr>
        <w:t> </w:t>
      </w:r>
      <w:r>
        <w:rPr/>
        <w:t>para</w:t>
      </w:r>
      <w:r>
        <w:rPr>
          <w:spacing w:val="31"/>
        </w:rPr>
        <w:t> </w:t>
      </w:r>
      <w:r>
        <w:rPr/>
        <w:t>transmissões</w:t>
      </w:r>
      <w:r>
        <w:rPr>
          <w:spacing w:val="31"/>
        </w:rPr>
        <w:t> </w:t>
      </w:r>
      <w:r>
        <w:rPr/>
        <w:t>que</w:t>
      </w:r>
      <w:r>
        <w:rPr>
          <w:spacing w:val="31"/>
        </w:rPr>
        <w:t> </w:t>
      </w:r>
      <w:r>
        <w:rPr/>
        <w:t>possuam</w:t>
      </w:r>
      <w:r>
        <w:rPr>
          <w:spacing w:val="31"/>
        </w:rPr>
        <w:t> </w:t>
      </w:r>
      <w:r>
        <w:rPr/>
        <w:t>guias</w:t>
      </w:r>
      <w:r>
        <w:rPr>
          <w:spacing w:val="31"/>
        </w:rPr>
        <w:t> </w:t>
      </w:r>
      <w:r>
        <w:rPr/>
        <w:t>já</w:t>
      </w:r>
      <w:r>
        <w:rPr>
          <w:spacing w:val="31"/>
        </w:rPr>
        <w:t> </w:t>
      </w:r>
      <w:r>
        <w:rPr/>
        <w:t>quitadas, sendo expressamente vedada a sua restituição.</w:t>
      </w:r>
    </w:p>
    <w:p>
      <w:pPr>
        <w:pStyle w:val="BodyText"/>
        <w:spacing w:line="376" w:lineRule="auto" w:before="178"/>
        <w:ind w:left="490" w:right="1956"/>
      </w:pPr>
      <w:r>
        <w:rPr/>
        <w:t>Art.</w:t>
      </w:r>
      <w:r>
        <w:rPr>
          <w:spacing w:val="-4"/>
        </w:rPr>
        <w:t> </w:t>
      </w:r>
      <w:r>
        <w:rPr/>
        <w:t>7º</w:t>
      </w:r>
      <w:r>
        <w:rPr>
          <w:spacing w:val="-4"/>
        </w:rPr>
        <w:t> </w:t>
      </w:r>
      <w:r>
        <w:rPr/>
        <w:t>Esta</w:t>
      </w:r>
      <w:r>
        <w:rPr>
          <w:spacing w:val="-4"/>
        </w:rPr>
        <w:t> </w:t>
      </w:r>
      <w:r>
        <w:rPr/>
        <w:t>Lei</w:t>
      </w:r>
      <w:r>
        <w:rPr>
          <w:spacing w:val="-4"/>
        </w:rPr>
        <w:t> </w:t>
      </w:r>
      <w:r>
        <w:rPr/>
        <w:t>Complementar</w:t>
      </w:r>
      <w:r>
        <w:rPr>
          <w:spacing w:val="-4"/>
        </w:rPr>
        <w:t> </w:t>
      </w:r>
      <w:r>
        <w:rPr/>
        <w:t>será</w:t>
      </w:r>
      <w:r>
        <w:rPr>
          <w:spacing w:val="-4"/>
        </w:rPr>
        <w:t> </w:t>
      </w:r>
      <w:r>
        <w:rPr/>
        <w:t>regulamentada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decreto,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couber. Art. 8º Esta Lei Complementar entra em vigor na data de sua publicação.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before="1"/>
        <w:ind w:left="318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7217155</wp:posOffset>
            </wp:positionH>
            <wp:positionV relativeFrom="paragraph">
              <wp:posOffset>315712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7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3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2735210</wp:posOffset>
            </wp:positionH>
            <wp:positionV relativeFrom="paragraph">
              <wp:posOffset>223005</wp:posOffset>
            </wp:positionV>
            <wp:extent cx="2023970" cy="6667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9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0"/>
        <w:ind w:left="3109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32"/>
        <w:rPr>
          <w:rFonts w:ascii="Arial"/>
          <w:b/>
          <w:sz w:val="20"/>
        </w:rPr>
      </w:pPr>
    </w:p>
    <w:p>
      <w:pPr>
        <w:tabs>
          <w:tab w:pos="6102" w:val="left" w:leader="none"/>
        </w:tabs>
        <w:spacing w:before="1"/>
        <w:ind w:left="339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95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951484</wp:posOffset>
            </wp:positionH>
            <wp:positionV relativeFrom="paragraph">
              <wp:posOffset>301507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4567089</wp:posOffset>
            </wp:positionH>
            <wp:positionV relativeFrom="paragraph">
              <wp:posOffset>285251</wp:posOffset>
            </wp:positionV>
            <wp:extent cx="2057143" cy="68580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3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943" w:val="left" w:leader="none"/>
          <w:tab w:pos="5807" w:val="left" w:leader="none"/>
        </w:tabs>
        <w:spacing w:line="232" w:lineRule="auto" w:before="0"/>
        <w:ind w:left="339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38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9264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3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2281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332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9315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41" w:hanging="16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732" w:hanging="24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3" w:hanging="24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6" w:hanging="24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89" w:hanging="24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72" w:hanging="24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24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24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22" w:hanging="24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19"/>
      <w:ind w:left="341" w:right="888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2025-12-23T14:26:31Z</dcterms:created>
  <dcterms:modified xsi:type="dcterms:W3CDTF">2025-12-23T14:26:31Z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