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jpeg" ContentType="image/jpeg"/>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24"/>
        </w:rPr>
      </w:pPr>
    </w:p>
    <w:p>
      <w:pPr>
        <w:pStyle w:val="BodyText"/>
        <w:spacing w:before="80"/>
        <w:rPr>
          <w:rFonts w:ascii="Times New Roman"/>
          <w:sz w:val="24"/>
        </w:rPr>
      </w:pPr>
    </w:p>
    <w:p>
      <w:pPr>
        <w:spacing w:before="1"/>
        <w:ind w:left="2502" w:right="0" w:firstLine="0"/>
        <w:jc w:val="both"/>
        <w:rPr>
          <w:rFonts w:ascii="Arial" w:hAnsi="Arial"/>
          <w:b/>
          <w:sz w:val="24"/>
        </w:rPr>
      </w:pPr>
      <w:r>
        <w:rPr>
          <w:rFonts w:ascii="Arial" w:hAnsi="Arial"/>
          <w:b/>
          <w:sz w:val="24"/>
        </w:rPr>
        <w:t>LEI</w:t>
      </w:r>
      <w:r>
        <w:rPr>
          <w:rFonts w:ascii="Arial" w:hAnsi="Arial"/>
          <w:b/>
          <w:spacing w:val="-3"/>
          <w:sz w:val="24"/>
        </w:rPr>
        <w:t> </w:t>
      </w:r>
      <w:r>
        <w:rPr>
          <w:rFonts w:ascii="Arial" w:hAnsi="Arial"/>
          <w:b/>
          <w:sz w:val="24"/>
        </w:rPr>
        <w:t>Nº</w:t>
      </w:r>
      <w:r>
        <w:rPr>
          <w:rFonts w:ascii="Arial" w:hAnsi="Arial"/>
          <w:b/>
          <w:spacing w:val="-3"/>
          <w:sz w:val="24"/>
        </w:rPr>
        <w:t> </w:t>
      </w:r>
      <w:r>
        <w:rPr>
          <w:rFonts w:ascii="Arial" w:hAnsi="Arial"/>
          <w:b/>
          <w:sz w:val="24"/>
        </w:rPr>
        <w:t>4395,</w:t>
      </w:r>
      <w:r>
        <w:rPr>
          <w:rFonts w:ascii="Arial" w:hAnsi="Arial"/>
          <w:b/>
          <w:spacing w:val="-3"/>
          <w:sz w:val="24"/>
        </w:rPr>
        <w:t> </w:t>
      </w:r>
      <w:r>
        <w:rPr>
          <w:rFonts w:ascii="Arial" w:hAnsi="Arial"/>
          <w:b/>
          <w:sz w:val="24"/>
        </w:rPr>
        <w:t>DE</w:t>
      </w:r>
      <w:r>
        <w:rPr>
          <w:rFonts w:ascii="Arial" w:hAnsi="Arial"/>
          <w:b/>
          <w:spacing w:val="-3"/>
          <w:sz w:val="24"/>
        </w:rPr>
        <w:t> </w:t>
      </w:r>
      <w:r>
        <w:rPr>
          <w:rFonts w:ascii="Arial" w:hAnsi="Arial"/>
          <w:b/>
          <w:sz w:val="24"/>
        </w:rPr>
        <w:t>17</w:t>
      </w:r>
      <w:r>
        <w:rPr>
          <w:rFonts w:ascii="Arial" w:hAnsi="Arial"/>
          <w:b/>
          <w:spacing w:val="-3"/>
          <w:sz w:val="24"/>
        </w:rPr>
        <w:t> </w:t>
      </w:r>
      <w:r>
        <w:rPr>
          <w:rFonts w:ascii="Arial" w:hAnsi="Arial"/>
          <w:b/>
          <w:sz w:val="24"/>
        </w:rPr>
        <w:t>DE</w:t>
      </w:r>
      <w:r>
        <w:rPr>
          <w:rFonts w:ascii="Arial" w:hAnsi="Arial"/>
          <w:b/>
          <w:spacing w:val="-3"/>
          <w:sz w:val="24"/>
        </w:rPr>
        <w:t> </w:t>
      </w:r>
      <w:r>
        <w:rPr>
          <w:rFonts w:ascii="Arial" w:hAnsi="Arial"/>
          <w:b/>
          <w:sz w:val="24"/>
        </w:rPr>
        <w:t>ABRIL</w:t>
      </w:r>
      <w:r>
        <w:rPr>
          <w:rFonts w:ascii="Arial" w:hAnsi="Arial"/>
          <w:b/>
          <w:spacing w:val="-3"/>
          <w:sz w:val="24"/>
        </w:rPr>
        <w:t> </w:t>
      </w:r>
      <w:r>
        <w:rPr>
          <w:rFonts w:ascii="Arial" w:hAnsi="Arial"/>
          <w:b/>
          <w:sz w:val="24"/>
        </w:rPr>
        <w:t>DE</w:t>
      </w:r>
      <w:r>
        <w:rPr>
          <w:rFonts w:ascii="Arial" w:hAnsi="Arial"/>
          <w:b/>
          <w:spacing w:val="-2"/>
          <w:sz w:val="24"/>
        </w:rPr>
        <w:t> 2025.</w:t>
      </w:r>
    </w:p>
    <w:p>
      <w:pPr>
        <w:pStyle w:val="BodyText"/>
        <w:rPr>
          <w:rFonts w:ascii="Arial"/>
          <w:b/>
          <w:sz w:val="24"/>
        </w:rPr>
      </w:pPr>
    </w:p>
    <w:p>
      <w:pPr>
        <w:pStyle w:val="BodyText"/>
        <w:rPr>
          <w:rFonts w:ascii="Arial"/>
          <w:b/>
          <w:sz w:val="24"/>
        </w:rPr>
      </w:pPr>
    </w:p>
    <w:p>
      <w:pPr>
        <w:pStyle w:val="BodyText"/>
        <w:spacing w:before="114"/>
        <w:rPr>
          <w:rFonts w:ascii="Arial"/>
          <w:b/>
          <w:sz w:val="24"/>
        </w:rPr>
      </w:pPr>
    </w:p>
    <w:p>
      <w:pPr>
        <w:pStyle w:val="BodyText"/>
        <w:spacing w:line="196" w:lineRule="auto" w:before="1"/>
        <w:ind w:left="4714" w:right="989"/>
        <w:jc w:val="both"/>
      </w:pPr>
      <w:r>
        <w:rPr/>
        <w:drawing>
          <wp:anchor distT="0" distB="0" distL="0" distR="0" allowOverlap="1" layoutInCell="1" locked="0" behindDoc="0" simplePos="0" relativeHeight="15728640">
            <wp:simplePos x="0" y="0"/>
            <wp:positionH relativeFrom="page">
              <wp:posOffset>7217155</wp:posOffset>
            </wp:positionH>
            <wp:positionV relativeFrom="paragraph">
              <wp:posOffset>1057015</wp:posOffset>
            </wp:positionV>
            <wp:extent cx="342900" cy="3616043"/>
            <wp:effectExtent l="0" t="0" r="0" b="0"/>
            <wp:wrapNone/>
            <wp:docPr id="4" name="Image 4"/>
            <wp:cNvGraphicFramePr>
              <a:graphicFrameLocks/>
            </wp:cNvGraphicFramePr>
            <a:graphic>
              <a:graphicData uri="http://schemas.openxmlformats.org/drawingml/2006/picture">
                <pic:pic>
                  <pic:nvPicPr>
                    <pic:cNvPr id="4" name="Image 4"/>
                    <pic:cNvPicPr/>
                  </pic:nvPicPr>
                  <pic:blipFill>
                    <a:blip r:embed="rId7" cstate="print"/>
                    <a:stretch>
                      <a:fillRect/>
                    </a:stretch>
                  </pic:blipFill>
                  <pic:spPr>
                    <a:xfrm>
                      <a:off x="0" y="0"/>
                      <a:ext cx="342900" cy="3616043"/>
                    </a:xfrm>
                    <a:prstGeom prst="rect">
                      <a:avLst/>
                    </a:prstGeom>
                  </pic:spPr>
                </pic:pic>
              </a:graphicData>
            </a:graphic>
          </wp:anchor>
        </w:drawing>
      </w:r>
      <w:r>
        <w:rPr/>
        <w:t>Altera dispositivos da Lei nº 3.141, de 07 de junho de</w:t>
      </w:r>
      <w:r>
        <w:rPr>
          <w:spacing w:val="-2"/>
        </w:rPr>
        <w:t> </w:t>
      </w:r>
      <w:r>
        <w:rPr/>
        <w:t>2013,</w:t>
      </w:r>
      <w:r>
        <w:rPr>
          <w:spacing w:val="-2"/>
        </w:rPr>
        <w:t> </w:t>
      </w:r>
      <w:r>
        <w:rPr/>
        <w:t>que</w:t>
      </w:r>
      <w:r>
        <w:rPr>
          <w:spacing w:val="-2"/>
        </w:rPr>
        <w:t> </w:t>
      </w:r>
      <w:r>
        <w:rPr/>
        <w:t>dispõe</w:t>
      </w:r>
      <w:r>
        <w:rPr>
          <w:spacing w:val="-2"/>
        </w:rPr>
        <w:t> </w:t>
      </w:r>
      <w:r>
        <w:rPr/>
        <w:t>sobre</w:t>
      </w:r>
      <w:r>
        <w:rPr>
          <w:spacing w:val="-2"/>
        </w:rPr>
        <w:t> </w:t>
      </w:r>
      <w:r>
        <w:rPr/>
        <w:t>o</w:t>
      </w:r>
      <w:r>
        <w:rPr>
          <w:spacing w:val="-2"/>
        </w:rPr>
        <w:t> </w:t>
      </w:r>
      <w:r>
        <w:rPr/>
        <w:t>serviço</w:t>
      </w:r>
      <w:r>
        <w:rPr>
          <w:spacing w:val="-2"/>
        </w:rPr>
        <w:t> </w:t>
      </w:r>
      <w:r>
        <w:rPr/>
        <w:t>de</w:t>
      </w:r>
      <w:r>
        <w:rPr>
          <w:spacing w:val="-2"/>
        </w:rPr>
        <w:t> </w:t>
      </w:r>
      <w:r>
        <w:rPr/>
        <w:t>transporte coletivo urbano e rural-urbano do Município de Gramado, estabelece as normas para concessão e permissão de sua exploração, e dá outras </w:t>
      </w:r>
      <w:r>
        <w:rPr>
          <w:spacing w:val="-2"/>
        </w:rPr>
        <w:t>providências.</w:t>
      </w:r>
    </w:p>
    <w:p>
      <w:pPr>
        <w:pStyle w:val="BodyText"/>
      </w:pPr>
    </w:p>
    <w:p>
      <w:pPr>
        <w:pStyle w:val="BodyText"/>
      </w:pPr>
    </w:p>
    <w:p>
      <w:pPr>
        <w:pStyle w:val="BodyText"/>
        <w:spacing w:before="204"/>
      </w:pPr>
    </w:p>
    <w:p>
      <w:pPr>
        <w:pStyle w:val="BodyText"/>
        <w:spacing w:line="196" w:lineRule="auto"/>
        <w:ind w:left="57" w:right="425" w:firstLine="298"/>
      </w:pPr>
      <w:r>
        <w:rPr>
          <w:b/>
        </w:rPr>
        <w:t>O</w:t>
      </w:r>
      <w:r>
        <w:rPr>
          <w:b/>
          <w:spacing w:val="40"/>
        </w:rPr>
        <w:t> </w:t>
      </w:r>
      <w:r>
        <w:rPr>
          <w:b/>
        </w:rPr>
        <w:t>PREFEITO</w:t>
      </w:r>
      <w:r>
        <w:rPr>
          <w:b/>
          <w:spacing w:val="40"/>
        </w:rPr>
        <w:t> </w:t>
      </w:r>
      <w:r>
        <w:rPr>
          <w:b/>
        </w:rPr>
        <w:t>DE</w:t>
      </w:r>
      <w:r>
        <w:rPr>
          <w:b/>
          <w:spacing w:val="40"/>
        </w:rPr>
        <w:t> </w:t>
      </w:r>
      <w:r>
        <w:rPr>
          <w:b/>
        </w:rPr>
        <w:t>GRAMADO,</w:t>
      </w:r>
      <w:r>
        <w:rPr>
          <w:b/>
          <w:spacing w:val="40"/>
        </w:rPr>
        <w:t> </w:t>
      </w:r>
      <w:r>
        <w:rPr/>
        <w:t>no</w:t>
      </w:r>
      <w:r>
        <w:rPr>
          <w:spacing w:val="40"/>
        </w:rPr>
        <w:t> </w:t>
      </w:r>
      <w:r>
        <w:rPr/>
        <w:t>uso</w:t>
      </w:r>
      <w:r>
        <w:rPr>
          <w:spacing w:val="40"/>
        </w:rPr>
        <w:t> </w:t>
      </w:r>
      <w:r>
        <w:rPr/>
        <w:t>de</w:t>
      </w:r>
      <w:r>
        <w:rPr>
          <w:spacing w:val="40"/>
        </w:rPr>
        <w:t> </w:t>
      </w:r>
      <w:r>
        <w:rPr/>
        <w:t>suas</w:t>
      </w:r>
      <w:r>
        <w:rPr>
          <w:spacing w:val="40"/>
        </w:rPr>
        <w:t> </w:t>
      </w:r>
      <w:r>
        <w:rPr/>
        <w:t>atribuições</w:t>
      </w:r>
      <w:r>
        <w:rPr>
          <w:spacing w:val="40"/>
        </w:rPr>
        <w:t> </w:t>
      </w:r>
      <w:r>
        <w:rPr/>
        <w:t>legais,</w:t>
      </w:r>
      <w:r>
        <w:rPr>
          <w:spacing w:val="40"/>
        </w:rPr>
        <w:t> </w:t>
      </w:r>
      <w:r>
        <w:rPr/>
        <w:t>FAÇO</w:t>
      </w:r>
      <w:r>
        <w:rPr>
          <w:spacing w:val="40"/>
        </w:rPr>
        <w:t> </w:t>
      </w:r>
      <w:r>
        <w:rPr/>
        <w:t>SABER,</w:t>
      </w:r>
      <w:r>
        <w:rPr>
          <w:spacing w:val="40"/>
        </w:rPr>
        <w:t> </w:t>
      </w:r>
      <w:r>
        <w:rPr/>
        <w:t>que</w:t>
      </w:r>
      <w:r>
        <w:rPr>
          <w:spacing w:val="40"/>
        </w:rPr>
        <w:t> </w:t>
      </w:r>
      <w:r>
        <w:rPr/>
        <w:t>a</w:t>
      </w:r>
      <w:r>
        <w:rPr>
          <w:spacing w:val="40"/>
        </w:rPr>
        <w:t> </w:t>
      </w:r>
      <w:r>
        <w:rPr/>
        <w:t>Câmara</w:t>
      </w:r>
      <w:r>
        <w:rPr>
          <w:spacing w:val="80"/>
          <w:w w:val="150"/>
        </w:rPr>
        <w:t> </w:t>
      </w:r>
      <w:r>
        <w:rPr/>
        <w:t>Municipal de Vereadores aprovou e eu sanciono e promulgo a seguinte Lei:</w:t>
      </w:r>
    </w:p>
    <w:p>
      <w:pPr>
        <w:pStyle w:val="BodyText"/>
        <w:spacing w:line="196" w:lineRule="auto" w:before="220"/>
        <w:ind w:left="57" w:right="425" w:firstLine="298"/>
      </w:pPr>
      <w:r>
        <w:rPr/>
        <w:t>Art. 1º Altera o art. 1º da Lei nº 3.141, de 07 de junho de 2013, que passa a vigorar com a seguinte </w:t>
      </w:r>
      <w:r>
        <w:rPr>
          <w:spacing w:val="-2"/>
        </w:rPr>
        <w:t>redação:</w:t>
      </w:r>
    </w:p>
    <w:p>
      <w:pPr>
        <w:pStyle w:val="BodyText"/>
      </w:pPr>
    </w:p>
    <w:p>
      <w:pPr>
        <w:pStyle w:val="BodyText"/>
        <w:spacing w:before="101"/>
      </w:pPr>
    </w:p>
    <w:p>
      <w:pPr>
        <w:pStyle w:val="BodyText"/>
        <w:spacing w:line="196" w:lineRule="auto"/>
        <w:ind w:left="2457" w:right="940"/>
        <w:jc w:val="both"/>
      </w:pPr>
      <w:r>
        <w:rPr/>
        <w:t>“Art. 1º Para fins da presente Lei considera-se transporte coletivo o serviço público de transporte de passageiros realizado por ônibus básico, midiônibus, miniônibus ou micro-ônibus, de caráter diário, acessível a toda</w:t>
      </w:r>
      <w:r>
        <w:rPr>
          <w:spacing w:val="40"/>
        </w:rPr>
        <w:t> </w:t>
      </w:r>
      <w:r>
        <w:rPr/>
        <w:t>a população, mediante pagamento individualizado de valores de tarifa, com itinerários e preços fixados pelo Poder Público municipal.” (NR)</w:t>
      </w:r>
    </w:p>
    <w:p>
      <w:pPr>
        <w:pStyle w:val="BodyText"/>
      </w:pPr>
    </w:p>
    <w:p>
      <w:pPr>
        <w:pStyle w:val="BodyText"/>
        <w:spacing w:before="100"/>
      </w:pPr>
    </w:p>
    <w:p>
      <w:pPr>
        <w:pStyle w:val="BodyText"/>
        <w:spacing w:line="196" w:lineRule="auto"/>
        <w:ind w:left="57" w:right="425" w:firstLine="298"/>
      </w:pPr>
      <w:r>
        <w:rPr/>
        <w:t>Art.</w:t>
      </w:r>
      <w:r>
        <w:rPr>
          <w:spacing w:val="25"/>
        </w:rPr>
        <w:t> </w:t>
      </w:r>
      <w:r>
        <w:rPr/>
        <w:t>2º</w:t>
      </w:r>
      <w:r>
        <w:rPr>
          <w:spacing w:val="25"/>
        </w:rPr>
        <w:t> </w:t>
      </w:r>
      <w:r>
        <w:rPr/>
        <w:t>Altera</w:t>
      </w:r>
      <w:r>
        <w:rPr>
          <w:spacing w:val="25"/>
        </w:rPr>
        <w:t> </w:t>
      </w:r>
      <w:r>
        <w:rPr/>
        <w:t>o</w:t>
      </w:r>
      <w:r>
        <w:rPr>
          <w:spacing w:val="25"/>
        </w:rPr>
        <w:t> </w:t>
      </w:r>
      <w:r>
        <w:rPr/>
        <w:t>inciso</w:t>
      </w:r>
      <w:r>
        <w:rPr>
          <w:spacing w:val="25"/>
        </w:rPr>
        <w:t> </w:t>
      </w:r>
      <w:r>
        <w:rPr/>
        <w:t>I</w:t>
      </w:r>
      <w:r>
        <w:rPr>
          <w:spacing w:val="25"/>
        </w:rPr>
        <w:t> </w:t>
      </w:r>
      <w:r>
        <w:rPr/>
        <w:t>do</w:t>
      </w:r>
      <w:r>
        <w:rPr>
          <w:spacing w:val="25"/>
        </w:rPr>
        <w:t> </w:t>
      </w:r>
      <w:r>
        <w:rPr/>
        <w:t>art.</w:t>
      </w:r>
      <w:r>
        <w:rPr>
          <w:spacing w:val="25"/>
        </w:rPr>
        <w:t> </w:t>
      </w:r>
      <w:r>
        <w:rPr/>
        <w:t>6º</w:t>
      </w:r>
      <w:r>
        <w:rPr>
          <w:spacing w:val="25"/>
        </w:rPr>
        <w:t> </w:t>
      </w:r>
      <w:r>
        <w:rPr/>
        <w:t>da</w:t>
      </w:r>
      <w:r>
        <w:rPr>
          <w:spacing w:val="25"/>
        </w:rPr>
        <w:t> </w:t>
      </w:r>
      <w:r>
        <w:rPr/>
        <w:t>Lei</w:t>
      </w:r>
      <w:r>
        <w:rPr>
          <w:spacing w:val="25"/>
        </w:rPr>
        <w:t> </w:t>
      </w:r>
      <w:r>
        <w:rPr/>
        <w:t>nº</w:t>
      </w:r>
      <w:r>
        <w:rPr>
          <w:spacing w:val="25"/>
        </w:rPr>
        <w:t> </w:t>
      </w:r>
      <w:r>
        <w:rPr/>
        <w:t>3.141,</w:t>
      </w:r>
      <w:r>
        <w:rPr>
          <w:spacing w:val="25"/>
        </w:rPr>
        <w:t> </w:t>
      </w:r>
      <w:r>
        <w:rPr/>
        <w:t>de</w:t>
      </w:r>
      <w:r>
        <w:rPr>
          <w:spacing w:val="25"/>
        </w:rPr>
        <w:t> </w:t>
      </w:r>
      <w:r>
        <w:rPr/>
        <w:t>2013,</w:t>
      </w:r>
      <w:r>
        <w:rPr>
          <w:spacing w:val="25"/>
        </w:rPr>
        <w:t> </w:t>
      </w:r>
      <w:r>
        <w:rPr/>
        <w:t>que</w:t>
      </w:r>
      <w:r>
        <w:rPr>
          <w:spacing w:val="25"/>
        </w:rPr>
        <w:t> </w:t>
      </w:r>
      <w:r>
        <w:rPr/>
        <w:t>passa</w:t>
      </w:r>
      <w:r>
        <w:rPr>
          <w:spacing w:val="25"/>
        </w:rPr>
        <w:t> </w:t>
      </w:r>
      <w:r>
        <w:rPr/>
        <w:t>a</w:t>
      </w:r>
      <w:r>
        <w:rPr>
          <w:spacing w:val="25"/>
        </w:rPr>
        <w:t> </w:t>
      </w:r>
      <w:r>
        <w:rPr/>
        <w:t>vigorar</w:t>
      </w:r>
      <w:r>
        <w:rPr>
          <w:spacing w:val="25"/>
        </w:rPr>
        <w:t> </w:t>
      </w:r>
      <w:r>
        <w:rPr/>
        <w:t>com</w:t>
      </w:r>
      <w:r>
        <w:rPr>
          <w:spacing w:val="25"/>
        </w:rPr>
        <w:t> </w:t>
      </w:r>
      <w:r>
        <w:rPr/>
        <w:t>a</w:t>
      </w:r>
      <w:r>
        <w:rPr>
          <w:spacing w:val="25"/>
        </w:rPr>
        <w:t> </w:t>
      </w:r>
      <w:r>
        <w:rPr/>
        <w:t>seguinte </w:t>
      </w:r>
      <w:r>
        <w:rPr>
          <w:spacing w:val="-2"/>
        </w:rPr>
        <w:t>redação:</w:t>
      </w:r>
    </w:p>
    <w:p>
      <w:pPr>
        <w:pStyle w:val="BodyText"/>
      </w:pPr>
    </w:p>
    <w:p>
      <w:pPr>
        <w:pStyle w:val="BodyText"/>
        <w:spacing w:before="63"/>
      </w:pPr>
    </w:p>
    <w:p>
      <w:pPr>
        <w:pStyle w:val="BodyText"/>
        <w:spacing w:line="244" w:lineRule="exact"/>
        <w:ind w:left="2457"/>
        <w:jc w:val="both"/>
      </w:pPr>
      <w:r>
        <w:rPr/>
        <w:t>“Art.</w:t>
      </w:r>
      <w:r>
        <w:rPr>
          <w:spacing w:val="-4"/>
        </w:rPr>
        <w:t> </w:t>
      </w:r>
      <w:r>
        <w:rPr/>
        <w:t>6º</w:t>
      </w:r>
      <w:r>
        <w:rPr>
          <w:spacing w:val="-3"/>
        </w:rPr>
        <w:t> </w:t>
      </w:r>
      <w:r>
        <w:rPr>
          <w:spacing w:val="-2"/>
        </w:rPr>
        <w:t>(...)</w:t>
      </w:r>
    </w:p>
    <w:p>
      <w:pPr>
        <w:pStyle w:val="BodyText"/>
        <w:spacing w:line="196" w:lineRule="auto" w:before="14"/>
        <w:ind w:left="2457" w:right="940"/>
        <w:jc w:val="both"/>
      </w:pPr>
      <w:r>
        <w:rPr/>
        <w:t>I - TRANSPORTE CONVENCIONAL: serviço regular de transporte que opera em todas as linhas utilizando ônibus básico, midiônibus ou miniônibus, podendo transportar, além de passageiros sentados, passageiros de pé no corredor do veículo, com ou sem a presença do cobrador;” (NR)</w:t>
      </w:r>
    </w:p>
    <w:p>
      <w:pPr>
        <w:pStyle w:val="BodyText"/>
      </w:pPr>
    </w:p>
    <w:p>
      <w:pPr>
        <w:pStyle w:val="BodyText"/>
        <w:spacing w:before="62"/>
      </w:pPr>
    </w:p>
    <w:p>
      <w:pPr>
        <w:pStyle w:val="BodyText"/>
        <w:ind w:left="355"/>
      </w:pPr>
      <w:r>
        <w:rPr/>
        <w:t>Art.</w:t>
      </w:r>
      <w:r>
        <w:rPr>
          <w:spacing w:val="-5"/>
        </w:rPr>
        <w:t> </w:t>
      </w:r>
      <w:r>
        <w:rPr/>
        <w:t>3º</w:t>
      </w:r>
      <w:r>
        <w:rPr>
          <w:spacing w:val="-3"/>
        </w:rPr>
        <w:t> </w:t>
      </w:r>
      <w:r>
        <w:rPr/>
        <w:t>Altera</w:t>
      </w:r>
      <w:r>
        <w:rPr>
          <w:spacing w:val="-3"/>
        </w:rPr>
        <w:t> </w:t>
      </w:r>
      <w:r>
        <w:rPr/>
        <w:t>o</w:t>
      </w:r>
      <w:r>
        <w:rPr>
          <w:spacing w:val="-3"/>
        </w:rPr>
        <w:t> </w:t>
      </w:r>
      <w:r>
        <w:rPr/>
        <w:t>§</w:t>
      </w:r>
      <w:r>
        <w:rPr>
          <w:spacing w:val="-3"/>
        </w:rPr>
        <w:t> </w:t>
      </w:r>
      <w:r>
        <w:rPr/>
        <w:t>2º</w:t>
      </w:r>
      <w:r>
        <w:rPr>
          <w:spacing w:val="-2"/>
        </w:rPr>
        <w:t> </w:t>
      </w:r>
      <w:r>
        <w:rPr/>
        <w:t>do</w:t>
      </w:r>
      <w:r>
        <w:rPr>
          <w:spacing w:val="-3"/>
        </w:rPr>
        <w:t> </w:t>
      </w:r>
      <w:r>
        <w:rPr/>
        <w:t>art.</w:t>
      </w:r>
      <w:r>
        <w:rPr>
          <w:spacing w:val="-3"/>
        </w:rPr>
        <w:t> </w:t>
      </w:r>
      <w:r>
        <w:rPr/>
        <w:t>9º</w:t>
      </w:r>
      <w:r>
        <w:rPr>
          <w:spacing w:val="-3"/>
        </w:rPr>
        <w:t> </w:t>
      </w:r>
      <w:r>
        <w:rPr/>
        <w:t>da</w:t>
      </w:r>
      <w:r>
        <w:rPr>
          <w:spacing w:val="-3"/>
        </w:rPr>
        <w:t> </w:t>
      </w:r>
      <w:r>
        <w:rPr/>
        <w:t>Lei</w:t>
      </w:r>
      <w:r>
        <w:rPr>
          <w:spacing w:val="-2"/>
        </w:rPr>
        <w:t> </w:t>
      </w:r>
      <w:r>
        <w:rPr/>
        <w:t>nº</w:t>
      </w:r>
      <w:r>
        <w:rPr>
          <w:spacing w:val="-3"/>
        </w:rPr>
        <w:t> </w:t>
      </w:r>
      <w:r>
        <w:rPr/>
        <w:t>3.141,</w:t>
      </w:r>
      <w:r>
        <w:rPr>
          <w:spacing w:val="-3"/>
        </w:rPr>
        <w:t> </w:t>
      </w:r>
      <w:r>
        <w:rPr/>
        <w:t>de</w:t>
      </w:r>
      <w:r>
        <w:rPr>
          <w:spacing w:val="-3"/>
        </w:rPr>
        <w:t> </w:t>
      </w:r>
      <w:r>
        <w:rPr/>
        <w:t>2013,</w:t>
      </w:r>
      <w:r>
        <w:rPr>
          <w:spacing w:val="-3"/>
        </w:rPr>
        <w:t> </w:t>
      </w:r>
      <w:r>
        <w:rPr/>
        <w:t>que</w:t>
      </w:r>
      <w:r>
        <w:rPr>
          <w:spacing w:val="-3"/>
        </w:rPr>
        <w:t> </w:t>
      </w:r>
      <w:r>
        <w:rPr/>
        <w:t>passa</w:t>
      </w:r>
      <w:r>
        <w:rPr>
          <w:spacing w:val="-2"/>
        </w:rPr>
        <w:t> </w:t>
      </w:r>
      <w:r>
        <w:rPr/>
        <w:t>a</w:t>
      </w:r>
      <w:r>
        <w:rPr>
          <w:spacing w:val="-3"/>
        </w:rPr>
        <w:t> </w:t>
      </w:r>
      <w:r>
        <w:rPr/>
        <w:t>vigorar</w:t>
      </w:r>
      <w:r>
        <w:rPr>
          <w:spacing w:val="-3"/>
        </w:rPr>
        <w:t> </w:t>
      </w:r>
      <w:r>
        <w:rPr/>
        <w:t>com</w:t>
      </w:r>
      <w:r>
        <w:rPr>
          <w:spacing w:val="-3"/>
        </w:rPr>
        <w:t> </w:t>
      </w:r>
      <w:r>
        <w:rPr/>
        <w:t>a</w:t>
      </w:r>
      <w:r>
        <w:rPr>
          <w:spacing w:val="-3"/>
        </w:rPr>
        <w:t> </w:t>
      </w:r>
      <w:r>
        <w:rPr/>
        <w:t>seguinte</w:t>
      </w:r>
      <w:r>
        <w:rPr>
          <w:spacing w:val="-2"/>
        </w:rPr>
        <w:t> redação:</w:t>
      </w:r>
    </w:p>
    <w:p>
      <w:pPr>
        <w:pStyle w:val="BodyText"/>
      </w:pPr>
    </w:p>
    <w:p>
      <w:pPr>
        <w:pStyle w:val="BodyText"/>
        <w:spacing w:before="53"/>
      </w:pPr>
    </w:p>
    <w:p>
      <w:pPr>
        <w:pStyle w:val="BodyText"/>
        <w:ind w:left="2457"/>
      </w:pPr>
      <w:r>
        <w:rPr/>
        <w:t>“Art.</w:t>
      </w:r>
      <w:r>
        <w:rPr>
          <w:spacing w:val="-4"/>
        </w:rPr>
        <w:t> </w:t>
      </w:r>
      <w:r>
        <w:rPr/>
        <w:t>9º</w:t>
      </w:r>
      <w:r>
        <w:rPr>
          <w:spacing w:val="-3"/>
        </w:rPr>
        <w:t> </w:t>
      </w:r>
      <w:r>
        <w:rPr>
          <w:spacing w:val="-5"/>
        </w:rPr>
        <w:t>(…)</w:t>
      </w:r>
    </w:p>
    <w:p>
      <w:pPr>
        <w:spacing w:before="171"/>
        <w:ind w:left="2457" w:right="0" w:firstLine="0"/>
        <w:jc w:val="left"/>
        <w:rPr>
          <w:sz w:val="22"/>
        </w:rPr>
      </w:pPr>
      <w:r>
        <w:rPr>
          <w:spacing w:val="-2"/>
          <w:sz w:val="22"/>
        </w:rPr>
        <w:t>(...)</w:t>
      </w:r>
    </w:p>
    <w:p>
      <w:pPr>
        <w:pStyle w:val="BodyText"/>
        <w:spacing w:line="196" w:lineRule="auto" w:before="210"/>
        <w:ind w:left="2457" w:right="938"/>
        <w:jc w:val="both"/>
      </w:pPr>
      <w:r>
        <w:rPr/>
        <w:t>§ 2º Para efeito deste artigo, utilizar-se-á as seguintes definições de</w:t>
      </w:r>
      <w:r>
        <w:rPr>
          <w:spacing w:val="40"/>
        </w:rPr>
        <w:t> </w:t>
      </w:r>
      <w:r>
        <w:rPr>
          <w:spacing w:val="-2"/>
        </w:rPr>
        <w:t>veículos:</w:t>
      </w:r>
    </w:p>
    <w:p>
      <w:pPr>
        <w:pStyle w:val="BodyText"/>
        <w:spacing w:line="196" w:lineRule="auto" w:before="219"/>
        <w:ind w:left="2457" w:right="941"/>
        <w:jc w:val="both"/>
      </w:pPr>
      <w:r>
        <w:rPr/>
        <w:t>I – ÔNIBUS BÁSICO: veículo automotor de transporte coletivo com capacidade de no mínimo 70 (setenta) passageiros, sentados e em pé;</w:t>
      </w:r>
    </w:p>
    <w:p>
      <w:pPr>
        <w:pStyle w:val="BodyText"/>
        <w:spacing w:after="0" w:line="196" w:lineRule="auto"/>
        <w:jc w:val="both"/>
        <w:sectPr>
          <w:headerReference w:type="default" r:id="rId5"/>
          <w:footerReference w:type="default" r:id="rId6"/>
          <w:type w:val="continuous"/>
          <w:pgSz w:w="11910" w:h="16840"/>
          <w:pgMar w:header="390" w:footer="624" w:top="2040" w:bottom="820" w:left="1700" w:right="0"/>
          <w:pgNumType w:start="1"/>
        </w:sectPr>
      </w:pPr>
    </w:p>
    <w:p>
      <w:pPr>
        <w:pStyle w:val="BodyText"/>
        <w:spacing w:before="264"/>
      </w:pPr>
    </w:p>
    <w:p>
      <w:pPr>
        <w:pStyle w:val="BodyText"/>
        <w:spacing w:line="196" w:lineRule="auto"/>
        <w:ind w:left="2457" w:right="941"/>
        <w:jc w:val="both"/>
      </w:pPr>
      <w:r>
        <w:rPr/>
        <w:t>II – MIDIÔNIBUS: veículo automotor de transporte coletivo com capacidade de no mínimo 40 passageiros, sentados e em pé;</w:t>
      </w:r>
    </w:p>
    <w:p>
      <w:pPr>
        <w:pStyle w:val="BodyText"/>
        <w:spacing w:line="196" w:lineRule="auto" w:before="220"/>
        <w:ind w:left="2457" w:right="941"/>
        <w:jc w:val="both"/>
      </w:pPr>
      <w:r>
        <w:rPr/>
        <w:t>III</w:t>
      </w:r>
      <w:r>
        <w:rPr>
          <w:spacing w:val="-4"/>
        </w:rPr>
        <w:t> </w:t>
      </w:r>
      <w:r>
        <w:rPr/>
        <w:t>–</w:t>
      </w:r>
      <w:r>
        <w:rPr>
          <w:spacing w:val="-4"/>
        </w:rPr>
        <w:t> </w:t>
      </w:r>
      <w:r>
        <w:rPr/>
        <w:t>MINIÔNIBUS:</w:t>
      </w:r>
      <w:r>
        <w:rPr>
          <w:spacing w:val="-4"/>
        </w:rPr>
        <w:t> </w:t>
      </w:r>
      <w:r>
        <w:rPr/>
        <w:t>veículo</w:t>
      </w:r>
      <w:r>
        <w:rPr>
          <w:spacing w:val="-4"/>
        </w:rPr>
        <w:t> </w:t>
      </w:r>
      <w:r>
        <w:rPr/>
        <w:t>automotor</w:t>
      </w:r>
      <w:r>
        <w:rPr>
          <w:spacing w:val="-4"/>
        </w:rPr>
        <w:t> </w:t>
      </w:r>
      <w:r>
        <w:rPr/>
        <w:t>de</w:t>
      </w:r>
      <w:r>
        <w:rPr>
          <w:spacing w:val="-4"/>
        </w:rPr>
        <w:t> </w:t>
      </w:r>
      <w:r>
        <w:rPr/>
        <w:t>transporte</w:t>
      </w:r>
      <w:r>
        <w:rPr>
          <w:spacing w:val="-4"/>
        </w:rPr>
        <w:t> </w:t>
      </w:r>
      <w:r>
        <w:rPr/>
        <w:t>coletivo</w:t>
      </w:r>
      <w:r>
        <w:rPr>
          <w:spacing w:val="-4"/>
        </w:rPr>
        <w:t> </w:t>
      </w:r>
      <w:r>
        <w:rPr/>
        <w:t>com</w:t>
      </w:r>
      <w:r>
        <w:rPr>
          <w:spacing w:val="-4"/>
        </w:rPr>
        <w:t> </w:t>
      </w:r>
      <w:r>
        <w:rPr/>
        <w:t>capacidade de no mínimo 30 passageiros, sentados e em pé;</w:t>
      </w:r>
    </w:p>
    <w:p>
      <w:pPr>
        <w:pStyle w:val="BodyText"/>
        <w:spacing w:line="196" w:lineRule="auto" w:before="219"/>
        <w:ind w:left="2457" w:right="425"/>
      </w:pPr>
      <w:r>
        <w:rPr/>
        <w:t>IV</w:t>
      </w:r>
      <w:r>
        <w:rPr>
          <w:spacing w:val="80"/>
        </w:rPr>
        <w:t> </w:t>
      </w:r>
      <w:r>
        <w:rPr/>
        <w:t>–</w:t>
      </w:r>
      <w:r>
        <w:rPr>
          <w:spacing w:val="80"/>
        </w:rPr>
        <w:t> </w:t>
      </w:r>
      <w:r>
        <w:rPr/>
        <w:t>MICROÔNIBUS:</w:t>
      </w:r>
      <w:r>
        <w:rPr>
          <w:spacing w:val="80"/>
        </w:rPr>
        <w:t> </w:t>
      </w:r>
      <w:r>
        <w:rPr/>
        <w:t>veículo</w:t>
      </w:r>
      <w:r>
        <w:rPr>
          <w:spacing w:val="80"/>
        </w:rPr>
        <w:t> </w:t>
      </w:r>
      <w:r>
        <w:rPr/>
        <w:t>automotor</w:t>
      </w:r>
      <w:r>
        <w:rPr>
          <w:spacing w:val="80"/>
        </w:rPr>
        <w:t> </w:t>
      </w:r>
      <w:r>
        <w:rPr/>
        <w:t>de</w:t>
      </w:r>
      <w:r>
        <w:rPr>
          <w:spacing w:val="80"/>
        </w:rPr>
        <w:t> </w:t>
      </w:r>
      <w:r>
        <w:rPr/>
        <w:t>transporte</w:t>
      </w:r>
      <w:r>
        <w:rPr>
          <w:spacing w:val="80"/>
        </w:rPr>
        <w:t> </w:t>
      </w:r>
      <w:r>
        <w:rPr/>
        <w:t>coletivo</w:t>
      </w:r>
      <w:r>
        <w:rPr>
          <w:spacing w:val="80"/>
        </w:rPr>
        <w:t> </w:t>
      </w:r>
      <w:r>
        <w:rPr/>
        <w:t>com capacidade entre 10 e 20 passageiros, exclusivamente sentados.” (NR)</w:t>
      </w:r>
    </w:p>
    <w:p>
      <w:pPr>
        <w:pStyle w:val="BodyText"/>
      </w:pPr>
    </w:p>
    <w:p>
      <w:pPr>
        <w:pStyle w:val="BodyText"/>
        <w:spacing w:before="63"/>
      </w:pPr>
    </w:p>
    <w:p>
      <w:pPr>
        <w:pStyle w:val="BodyText"/>
        <w:spacing w:before="1"/>
        <w:ind w:left="355"/>
      </w:pPr>
      <w:r>
        <w:rPr/>
        <w:t>Art.</w:t>
      </w:r>
      <w:r>
        <w:rPr>
          <w:spacing w:val="-5"/>
        </w:rPr>
        <w:t> </w:t>
      </w:r>
      <w:r>
        <w:rPr/>
        <w:t>4º</w:t>
      </w:r>
      <w:r>
        <w:rPr>
          <w:spacing w:val="-3"/>
        </w:rPr>
        <w:t> </w:t>
      </w:r>
      <w:r>
        <w:rPr/>
        <w:t>Altera</w:t>
      </w:r>
      <w:r>
        <w:rPr>
          <w:spacing w:val="-3"/>
        </w:rPr>
        <w:t> </w:t>
      </w:r>
      <w:r>
        <w:rPr/>
        <w:t>o</w:t>
      </w:r>
      <w:r>
        <w:rPr>
          <w:spacing w:val="-3"/>
        </w:rPr>
        <w:t> </w:t>
      </w:r>
      <w:r>
        <w:rPr/>
        <w:t>art.</w:t>
      </w:r>
      <w:r>
        <w:rPr>
          <w:spacing w:val="-3"/>
        </w:rPr>
        <w:t> </w:t>
      </w:r>
      <w:r>
        <w:rPr/>
        <w:t>35</w:t>
      </w:r>
      <w:r>
        <w:rPr>
          <w:spacing w:val="-3"/>
        </w:rPr>
        <w:t> </w:t>
      </w:r>
      <w:r>
        <w:rPr/>
        <w:t>da</w:t>
      </w:r>
      <w:r>
        <w:rPr>
          <w:spacing w:val="-3"/>
        </w:rPr>
        <w:t> </w:t>
      </w:r>
      <w:r>
        <w:rPr/>
        <w:t>Lei</w:t>
      </w:r>
      <w:r>
        <w:rPr>
          <w:spacing w:val="-3"/>
        </w:rPr>
        <w:t> </w:t>
      </w:r>
      <w:r>
        <w:rPr/>
        <w:t>nº</w:t>
      </w:r>
      <w:r>
        <w:rPr>
          <w:spacing w:val="-3"/>
        </w:rPr>
        <w:t> </w:t>
      </w:r>
      <w:r>
        <w:rPr/>
        <w:t>3.141,</w:t>
      </w:r>
      <w:r>
        <w:rPr>
          <w:spacing w:val="-3"/>
        </w:rPr>
        <w:t> </w:t>
      </w:r>
      <w:r>
        <w:rPr/>
        <w:t>de</w:t>
      </w:r>
      <w:r>
        <w:rPr>
          <w:spacing w:val="-3"/>
        </w:rPr>
        <w:t> </w:t>
      </w:r>
      <w:r>
        <w:rPr/>
        <w:t>2013,</w:t>
      </w:r>
      <w:r>
        <w:rPr>
          <w:spacing w:val="-3"/>
        </w:rPr>
        <w:t> </w:t>
      </w:r>
      <w:r>
        <w:rPr/>
        <w:t>que</w:t>
      </w:r>
      <w:r>
        <w:rPr>
          <w:spacing w:val="-3"/>
        </w:rPr>
        <w:t> </w:t>
      </w:r>
      <w:r>
        <w:rPr/>
        <w:t>passa</w:t>
      </w:r>
      <w:r>
        <w:rPr>
          <w:spacing w:val="-3"/>
        </w:rPr>
        <w:t> </w:t>
      </w:r>
      <w:r>
        <w:rPr/>
        <w:t>a</w:t>
      </w:r>
      <w:r>
        <w:rPr>
          <w:spacing w:val="-3"/>
        </w:rPr>
        <w:t> </w:t>
      </w:r>
      <w:r>
        <w:rPr/>
        <w:t>vigorar</w:t>
      </w:r>
      <w:r>
        <w:rPr>
          <w:spacing w:val="-3"/>
        </w:rPr>
        <w:t> </w:t>
      </w:r>
      <w:r>
        <w:rPr/>
        <w:t>com</w:t>
      </w:r>
      <w:r>
        <w:rPr>
          <w:spacing w:val="-3"/>
        </w:rPr>
        <w:t> </w:t>
      </w:r>
      <w:r>
        <w:rPr/>
        <w:t>a</w:t>
      </w:r>
      <w:r>
        <w:rPr>
          <w:spacing w:val="-3"/>
        </w:rPr>
        <w:t> </w:t>
      </w:r>
      <w:r>
        <w:rPr/>
        <w:t>seguinte</w:t>
      </w:r>
      <w:r>
        <w:rPr>
          <w:spacing w:val="-3"/>
        </w:rPr>
        <w:t> </w:t>
      </w:r>
      <w:r>
        <w:rPr>
          <w:spacing w:val="-2"/>
        </w:rPr>
        <w:t>redação:</w:t>
      </w:r>
    </w:p>
    <w:p>
      <w:pPr>
        <w:pStyle w:val="BodyText"/>
      </w:pPr>
    </w:p>
    <w:p>
      <w:pPr>
        <w:pStyle w:val="BodyText"/>
        <w:spacing w:before="90"/>
      </w:pPr>
    </w:p>
    <w:p>
      <w:pPr>
        <w:pStyle w:val="BodyText"/>
        <w:spacing w:line="196" w:lineRule="auto"/>
        <w:ind w:left="2457" w:right="939"/>
        <w:jc w:val="both"/>
      </w:pPr>
      <w:r>
        <w:rPr/>
        <w:drawing>
          <wp:anchor distT="0" distB="0" distL="0" distR="0" allowOverlap="1" layoutInCell="1" locked="0" behindDoc="0" simplePos="0" relativeHeight="15729152">
            <wp:simplePos x="0" y="0"/>
            <wp:positionH relativeFrom="page">
              <wp:posOffset>7217155</wp:posOffset>
            </wp:positionH>
            <wp:positionV relativeFrom="paragraph">
              <wp:posOffset>-174095</wp:posOffset>
            </wp:positionV>
            <wp:extent cx="342900" cy="3616043"/>
            <wp:effectExtent l="0" t="0" r="0" b="0"/>
            <wp:wrapNone/>
            <wp:docPr id="5" name="Image 5"/>
            <wp:cNvGraphicFramePr>
              <a:graphicFrameLocks/>
            </wp:cNvGraphicFramePr>
            <a:graphic>
              <a:graphicData uri="http://schemas.openxmlformats.org/drawingml/2006/picture">
                <pic:pic>
                  <pic:nvPicPr>
                    <pic:cNvPr id="5" name="Image 5"/>
                    <pic:cNvPicPr/>
                  </pic:nvPicPr>
                  <pic:blipFill>
                    <a:blip r:embed="rId7" cstate="print"/>
                    <a:stretch>
                      <a:fillRect/>
                    </a:stretch>
                  </pic:blipFill>
                  <pic:spPr>
                    <a:xfrm>
                      <a:off x="0" y="0"/>
                      <a:ext cx="342900" cy="3616043"/>
                    </a:xfrm>
                    <a:prstGeom prst="rect">
                      <a:avLst/>
                    </a:prstGeom>
                  </pic:spPr>
                </pic:pic>
              </a:graphicData>
            </a:graphic>
          </wp:anchor>
        </w:drawing>
      </w:r>
      <w:r>
        <w:rPr/>
        <w:t>“Art. 35. As propostas, acompanhadas dos documentos exigidos por Lei, serão examinadas e classificadas pela Comissão Permanente de Licitações, de acordo com as regras contidas no edital, as Leis Federais nº 8.987/95 e</w:t>
      </w:r>
      <w:r>
        <w:rPr>
          <w:spacing w:val="40"/>
        </w:rPr>
        <w:t> </w:t>
      </w:r>
      <w:r>
        <w:rPr/>
        <w:t>nº 14.133/2021, suas alterações e a legislação municipal pertinente.” (NR)</w:t>
      </w:r>
    </w:p>
    <w:p>
      <w:pPr>
        <w:pStyle w:val="BodyText"/>
      </w:pPr>
    </w:p>
    <w:p>
      <w:pPr>
        <w:pStyle w:val="BodyText"/>
        <w:spacing w:before="62"/>
      </w:pPr>
    </w:p>
    <w:p>
      <w:pPr>
        <w:pStyle w:val="BodyText"/>
        <w:spacing w:before="1"/>
        <w:ind w:left="57"/>
      </w:pPr>
      <w:r>
        <w:rPr/>
        <w:t>Art.</w:t>
      </w:r>
      <w:r>
        <w:rPr>
          <w:spacing w:val="-5"/>
        </w:rPr>
        <w:t> </w:t>
      </w:r>
      <w:r>
        <w:rPr/>
        <w:t>5º</w:t>
      </w:r>
      <w:r>
        <w:rPr>
          <w:spacing w:val="-3"/>
        </w:rPr>
        <w:t> </w:t>
      </w:r>
      <w:r>
        <w:rPr/>
        <w:t>Altera</w:t>
      </w:r>
      <w:r>
        <w:rPr>
          <w:spacing w:val="-3"/>
        </w:rPr>
        <w:t> </w:t>
      </w:r>
      <w:r>
        <w:rPr/>
        <w:t>o</w:t>
      </w:r>
      <w:r>
        <w:rPr>
          <w:spacing w:val="-3"/>
        </w:rPr>
        <w:t> </w:t>
      </w:r>
      <w:r>
        <w:rPr/>
        <w:t>art.</w:t>
      </w:r>
      <w:r>
        <w:rPr>
          <w:spacing w:val="-3"/>
        </w:rPr>
        <w:t> </w:t>
      </w:r>
      <w:r>
        <w:rPr/>
        <w:t>36</w:t>
      </w:r>
      <w:r>
        <w:rPr>
          <w:spacing w:val="-3"/>
        </w:rPr>
        <w:t> </w:t>
      </w:r>
      <w:r>
        <w:rPr/>
        <w:t>da</w:t>
      </w:r>
      <w:r>
        <w:rPr>
          <w:spacing w:val="-3"/>
        </w:rPr>
        <w:t> </w:t>
      </w:r>
      <w:r>
        <w:rPr/>
        <w:t>Lei</w:t>
      </w:r>
      <w:r>
        <w:rPr>
          <w:spacing w:val="-3"/>
        </w:rPr>
        <w:t> </w:t>
      </w:r>
      <w:r>
        <w:rPr/>
        <w:t>nº</w:t>
      </w:r>
      <w:r>
        <w:rPr>
          <w:spacing w:val="-3"/>
        </w:rPr>
        <w:t> </w:t>
      </w:r>
      <w:r>
        <w:rPr/>
        <w:t>3.141,</w:t>
      </w:r>
      <w:r>
        <w:rPr>
          <w:spacing w:val="-3"/>
        </w:rPr>
        <w:t> </w:t>
      </w:r>
      <w:r>
        <w:rPr/>
        <w:t>de</w:t>
      </w:r>
      <w:r>
        <w:rPr>
          <w:spacing w:val="-3"/>
        </w:rPr>
        <w:t> </w:t>
      </w:r>
      <w:r>
        <w:rPr/>
        <w:t>2013,</w:t>
      </w:r>
      <w:r>
        <w:rPr>
          <w:spacing w:val="-3"/>
        </w:rPr>
        <w:t> </w:t>
      </w:r>
      <w:r>
        <w:rPr/>
        <w:t>que</w:t>
      </w:r>
      <w:r>
        <w:rPr>
          <w:spacing w:val="-3"/>
        </w:rPr>
        <w:t> </w:t>
      </w:r>
      <w:r>
        <w:rPr/>
        <w:t>passa</w:t>
      </w:r>
      <w:r>
        <w:rPr>
          <w:spacing w:val="-3"/>
        </w:rPr>
        <w:t> </w:t>
      </w:r>
      <w:r>
        <w:rPr/>
        <w:t>a</w:t>
      </w:r>
      <w:r>
        <w:rPr>
          <w:spacing w:val="-3"/>
        </w:rPr>
        <w:t> </w:t>
      </w:r>
      <w:r>
        <w:rPr/>
        <w:t>vigorar</w:t>
      </w:r>
      <w:r>
        <w:rPr>
          <w:spacing w:val="-3"/>
        </w:rPr>
        <w:t> </w:t>
      </w:r>
      <w:r>
        <w:rPr/>
        <w:t>com</w:t>
      </w:r>
      <w:r>
        <w:rPr>
          <w:spacing w:val="-3"/>
        </w:rPr>
        <w:t> </w:t>
      </w:r>
      <w:r>
        <w:rPr/>
        <w:t>a</w:t>
      </w:r>
      <w:r>
        <w:rPr>
          <w:spacing w:val="-3"/>
        </w:rPr>
        <w:t> </w:t>
      </w:r>
      <w:r>
        <w:rPr/>
        <w:t>seguinte</w:t>
      </w:r>
      <w:r>
        <w:rPr>
          <w:spacing w:val="-3"/>
        </w:rPr>
        <w:t> </w:t>
      </w:r>
      <w:r>
        <w:rPr>
          <w:spacing w:val="-2"/>
        </w:rPr>
        <w:t>redação:</w:t>
      </w:r>
    </w:p>
    <w:p>
      <w:pPr>
        <w:pStyle w:val="BodyText"/>
      </w:pPr>
    </w:p>
    <w:p>
      <w:pPr>
        <w:pStyle w:val="BodyText"/>
        <w:spacing w:before="90"/>
      </w:pPr>
    </w:p>
    <w:p>
      <w:pPr>
        <w:pStyle w:val="BodyText"/>
        <w:spacing w:line="196" w:lineRule="auto"/>
        <w:ind w:left="2457" w:right="938"/>
        <w:jc w:val="both"/>
      </w:pPr>
      <w:r>
        <w:rPr/>
        <w:t>“Art. 36. A concessionária do Sistema de Transporte Coletivo será </w:t>
      </w:r>
      <w:r>
        <w:rPr>
          <w:spacing w:val="-2"/>
        </w:rPr>
        <w:t>remunerada:</w:t>
      </w:r>
    </w:p>
    <w:p>
      <w:pPr>
        <w:pStyle w:val="BodyText"/>
        <w:spacing w:before="182"/>
        <w:ind w:left="2457"/>
        <w:jc w:val="both"/>
      </w:pPr>
      <w:r>
        <w:rPr/>
        <w:t>I</w:t>
      </w:r>
      <w:r>
        <w:rPr>
          <w:spacing w:val="-3"/>
        </w:rPr>
        <w:t> </w:t>
      </w:r>
      <w:r>
        <w:rPr/>
        <w:t>–</w:t>
      </w:r>
      <w:r>
        <w:rPr>
          <w:spacing w:val="-2"/>
        </w:rPr>
        <w:t> </w:t>
      </w:r>
      <w:r>
        <w:rPr/>
        <w:t>pela</w:t>
      </w:r>
      <w:r>
        <w:rPr>
          <w:spacing w:val="-3"/>
        </w:rPr>
        <w:t> </w:t>
      </w:r>
      <w:r>
        <w:rPr/>
        <w:t>receita</w:t>
      </w:r>
      <w:r>
        <w:rPr>
          <w:spacing w:val="-2"/>
        </w:rPr>
        <w:t> </w:t>
      </w:r>
      <w:r>
        <w:rPr/>
        <w:t>tarifaria</w:t>
      </w:r>
      <w:r>
        <w:rPr>
          <w:spacing w:val="-3"/>
        </w:rPr>
        <w:t> </w:t>
      </w:r>
      <w:r>
        <w:rPr/>
        <w:t>direta</w:t>
      </w:r>
      <w:r>
        <w:rPr>
          <w:spacing w:val="-2"/>
        </w:rPr>
        <w:t> </w:t>
      </w:r>
      <w:r>
        <w:rPr/>
        <w:t>e</w:t>
      </w:r>
      <w:r>
        <w:rPr>
          <w:spacing w:val="-3"/>
        </w:rPr>
        <w:t> </w:t>
      </w:r>
      <w:r>
        <w:rPr/>
        <w:t>indiretamente</w:t>
      </w:r>
      <w:r>
        <w:rPr>
          <w:spacing w:val="-2"/>
        </w:rPr>
        <w:t> arrecadada;</w:t>
      </w:r>
    </w:p>
    <w:p>
      <w:pPr>
        <w:pStyle w:val="BodyText"/>
        <w:spacing w:line="196" w:lineRule="auto" w:before="209"/>
        <w:ind w:left="2457" w:right="938"/>
        <w:jc w:val="both"/>
      </w:pPr>
      <w:r>
        <w:rPr/>
        <w:t>II - valores de venda antecipada de créditos eletrônicos de transporte não </w:t>
      </w:r>
      <w:r>
        <w:rPr>
          <w:spacing w:val="-2"/>
        </w:rPr>
        <w:t>utilizados;</w:t>
      </w:r>
    </w:p>
    <w:p>
      <w:pPr>
        <w:pStyle w:val="BodyText"/>
        <w:spacing w:line="196" w:lineRule="auto" w:before="220"/>
        <w:ind w:left="2457" w:right="939"/>
        <w:jc w:val="both"/>
      </w:pPr>
      <w:r>
        <w:rPr/>
        <w:t>III - subsídio público para custeio do Sistema de Transporte Coletivo Público </w:t>
      </w:r>
      <w:r>
        <w:rPr>
          <w:spacing w:val="-2"/>
        </w:rPr>
        <w:t>municipal;</w:t>
      </w:r>
    </w:p>
    <w:p>
      <w:pPr>
        <w:pStyle w:val="BodyText"/>
        <w:spacing w:line="196" w:lineRule="auto" w:before="219"/>
        <w:ind w:left="2457" w:right="939"/>
        <w:jc w:val="both"/>
      </w:pPr>
      <w:r>
        <w:rPr/>
        <w:t>IV</w:t>
      </w:r>
      <w:r>
        <w:rPr>
          <w:spacing w:val="-3"/>
        </w:rPr>
        <w:t> </w:t>
      </w:r>
      <w:r>
        <w:rPr/>
        <w:t>–</w:t>
      </w:r>
      <w:r>
        <w:rPr>
          <w:spacing w:val="-3"/>
        </w:rPr>
        <w:t> </w:t>
      </w:r>
      <w:r>
        <w:rPr/>
        <w:t>por</w:t>
      </w:r>
      <w:r>
        <w:rPr>
          <w:spacing w:val="-3"/>
        </w:rPr>
        <w:t> </w:t>
      </w:r>
      <w:r>
        <w:rPr/>
        <w:t>receitas</w:t>
      </w:r>
      <w:r>
        <w:rPr>
          <w:spacing w:val="-3"/>
        </w:rPr>
        <w:t> </w:t>
      </w:r>
      <w:r>
        <w:rPr/>
        <w:t>adicionais,</w:t>
      </w:r>
      <w:r>
        <w:rPr>
          <w:spacing w:val="-3"/>
        </w:rPr>
        <w:t> </w:t>
      </w:r>
      <w:r>
        <w:rPr/>
        <w:t>geradas</w:t>
      </w:r>
      <w:r>
        <w:rPr>
          <w:spacing w:val="-3"/>
        </w:rPr>
        <w:t> </w:t>
      </w:r>
      <w:r>
        <w:rPr/>
        <w:t>por</w:t>
      </w:r>
      <w:r>
        <w:rPr>
          <w:spacing w:val="-3"/>
        </w:rPr>
        <w:t> </w:t>
      </w:r>
      <w:r>
        <w:rPr/>
        <w:t>projetos</w:t>
      </w:r>
      <w:r>
        <w:rPr>
          <w:spacing w:val="-3"/>
        </w:rPr>
        <w:t> </w:t>
      </w:r>
      <w:r>
        <w:rPr/>
        <w:t>e</w:t>
      </w:r>
      <w:r>
        <w:rPr>
          <w:spacing w:val="-3"/>
        </w:rPr>
        <w:t> </w:t>
      </w:r>
      <w:r>
        <w:rPr/>
        <w:t>serviços</w:t>
      </w:r>
      <w:r>
        <w:rPr>
          <w:spacing w:val="-3"/>
        </w:rPr>
        <w:t> </w:t>
      </w:r>
      <w:r>
        <w:rPr/>
        <w:t>associados</w:t>
      </w:r>
      <w:r>
        <w:rPr>
          <w:spacing w:val="-3"/>
        </w:rPr>
        <w:t> </w:t>
      </w:r>
      <w:r>
        <w:rPr/>
        <w:t>e</w:t>
      </w:r>
      <w:r>
        <w:rPr>
          <w:spacing w:val="-3"/>
        </w:rPr>
        <w:t> </w:t>
      </w:r>
      <w:r>
        <w:rPr/>
        <w:t>por outras fontes alternativas, complementares e acessórias.” (NR)</w:t>
      </w:r>
    </w:p>
    <w:p>
      <w:pPr>
        <w:pStyle w:val="BodyText"/>
      </w:pPr>
    </w:p>
    <w:p>
      <w:pPr>
        <w:pStyle w:val="BodyText"/>
        <w:spacing w:before="63"/>
      </w:pPr>
    </w:p>
    <w:p>
      <w:pPr>
        <w:pStyle w:val="BodyText"/>
        <w:ind w:left="355"/>
      </w:pPr>
      <w:r>
        <w:rPr/>
        <w:t>Art.</w:t>
      </w:r>
      <w:r>
        <w:rPr>
          <w:spacing w:val="-6"/>
        </w:rPr>
        <w:t> </w:t>
      </w:r>
      <w:r>
        <w:rPr/>
        <w:t>6º</w:t>
      </w:r>
      <w:r>
        <w:rPr>
          <w:spacing w:val="-3"/>
        </w:rPr>
        <w:t> </w:t>
      </w:r>
      <w:r>
        <w:rPr/>
        <w:t>Altera</w:t>
      </w:r>
      <w:r>
        <w:rPr>
          <w:spacing w:val="-3"/>
        </w:rPr>
        <w:t> </w:t>
      </w:r>
      <w:r>
        <w:rPr/>
        <w:t>o</w:t>
      </w:r>
      <w:r>
        <w:rPr>
          <w:spacing w:val="-3"/>
        </w:rPr>
        <w:t> </w:t>
      </w:r>
      <w:r>
        <w:rPr/>
        <w:t>art.</w:t>
      </w:r>
      <w:r>
        <w:rPr>
          <w:spacing w:val="-3"/>
        </w:rPr>
        <w:t> </w:t>
      </w:r>
      <w:r>
        <w:rPr/>
        <w:t>38.</w:t>
      </w:r>
      <w:r>
        <w:rPr>
          <w:spacing w:val="-3"/>
        </w:rPr>
        <w:t> </w:t>
      </w:r>
      <w:r>
        <w:rPr/>
        <w:t>da</w:t>
      </w:r>
      <w:r>
        <w:rPr>
          <w:spacing w:val="-3"/>
        </w:rPr>
        <w:t> </w:t>
      </w:r>
      <w:r>
        <w:rPr/>
        <w:t>Lei</w:t>
      </w:r>
      <w:r>
        <w:rPr>
          <w:spacing w:val="-3"/>
        </w:rPr>
        <w:t> </w:t>
      </w:r>
      <w:r>
        <w:rPr/>
        <w:t>nº</w:t>
      </w:r>
      <w:r>
        <w:rPr>
          <w:spacing w:val="-3"/>
        </w:rPr>
        <w:t> </w:t>
      </w:r>
      <w:r>
        <w:rPr/>
        <w:t>3.141,</w:t>
      </w:r>
      <w:r>
        <w:rPr>
          <w:spacing w:val="-3"/>
        </w:rPr>
        <w:t> </w:t>
      </w:r>
      <w:r>
        <w:rPr/>
        <w:t>de</w:t>
      </w:r>
      <w:r>
        <w:rPr>
          <w:spacing w:val="-3"/>
        </w:rPr>
        <w:t> </w:t>
      </w:r>
      <w:r>
        <w:rPr/>
        <w:t>2013,</w:t>
      </w:r>
      <w:r>
        <w:rPr>
          <w:spacing w:val="-3"/>
        </w:rPr>
        <w:t> </w:t>
      </w:r>
      <w:r>
        <w:rPr/>
        <w:t>que</w:t>
      </w:r>
      <w:r>
        <w:rPr>
          <w:spacing w:val="-3"/>
        </w:rPr>
        <w:t> </w:t>
      </w:r>
      <w:r>
        <w:rPr/>
        <w:t>passa</w:t>
      </w:r>
      <w:r>
        <w:rPr>
          <w:spacing w:val="-3"/>
        </w:rPr>
        <w:t> </w:t>
      </w:r>
      <w:r>
        <w:rPr/>
        <w:t>a</w:t>
      </w:r>
      <w:r>
        <w:rPr>
          <w:spacing w:val="-3"/>
        </w:rPr>
        <w:t> </w:t>
      </w:r>
      <w:r>
        <w:rPr/>
        <w:t>vigorar</w:t>
      </w:r>
      <w:r>
        <w:rPr>
          <w:spacing w:val="-3"/>
        </w:rPr>
        <w:t> </w:t>
      </w:r>
      <w:r>
        <w:rPr/>
        <w:t>com</w:t>
      </w:r>
      <w:r>
        <w:rPr>
          <w:spacing w:val="-3"/>
        </w:rPr>
        <w:t> </w:t>
      </w:r>
      <w:r>
        <w:rPr/>
        <w:t>a</w:t>
      </w:r>
      <w:r>
        <w:rPr>
          <w:spacing w:val="-3"/>
        </w:rPr>
        <w:t> </w:t>
      </w:r>
      <w:r>
        <w:rPr/>
        <w:t>seguinte</w:t>
      </w:r>
      <w:r>
        <w:rPr>
          <w:spacing w:val="-3"/>
        </w:rPr>
        <w:t> </w:t>
      </w:r>
      <w:r>
        <w:rPr>
          <w:spacing w:val="-2"/>
        </w:rPr>
        <w:t>redação:</w:t>
      </w:r>
    </w:p>
    <w:p>
      <w:pPr>
        <w:pStyle w:val="BodyText"/>
      </w:pPr>
    </w:p>
    <w:p>
      <w:pPr>
        <w:pStyle w:val="BodyText"/>
        <w:spacing w:before="91"/>
      </w:pPr>
    </w:p>
    <w:p>
      <w:pPr>
        <w:pStyle w:val="BodyText"/>
        <w:spacing w:line="196" w:lineRule="auto"/>
        <w:ind w:left="2457" w:right="938"/>
        <w:jc w:val="both"/>
      </w:pPr>
      <w:r>
        <w:rPr/>
        <w:t>“Art. 38. As revisões da tarifa pública e de remuneração da prestação do serviço</w:t>
      </w:r>
      <w:r>
        <w:rPr>
          <w:spacing w:val="-3"/>
        </w:rPr>
        <w:t> </w:t>
      </w:r>
      <w:r>
        <w:rPr/>
        <w:t>observarão</w:t>
      </w:r>
      <w:r>
        <w:rPr>
          <w:spacing w:val="-3"/>
        </w:rPr>
        <w:t> </w:t>
      </w:r>
      <w:r>
        <w:rPr/>
        <w:t>a</w:t>
      </w:r>
      <w:r>
        <w:rPr>
          <w:spacing w:val="-2"/>
        </w:rPr>
        <w:t> </w:t>
      </w:r>
      <w:r>
        <w:rPr/>
        <w:t>periodicidade</w:t>
      </w:r>
      <w:r>
        <w:rPr>
          <w:spacing w:val="-3"/>
        </w:rPr>
        <w:t> </w:t>
      </w:r>
      <w:r>
        <w:rPr/>
        <w:t>mínima</w:t>
      </w:r>
      <w:r>
        <w:rPr>
          <w:spacing w:val="-2"/>
        </w:rPr>
        <w:t> </w:t>
      </w:r>
      <w:r>
        <w:rPr/>
        <w:t>estabelecida</w:t>
      </w:r>
      <w:r>
        <w:rPr>
          <w:spacing w:val="-2"/>
        </w:rPr>
        <w:t> </w:t>
      </w:r>
      <w:r>
        <w:rPr/>
        <w:t>pelo</w:t>
      </w:r>
      <w:r>
        <w:rPr>
          <w:spacing w:val="-3"/>
        </w:rPr>
        <w:t> </w:t>
      </w:r>
      <w:r>
        <w:rPr/>
        <w:t>Poder</w:t>
      </w:r>
      <w:r>
        <w:rPr>
          <w:spacing w:val="-3"/>
        </w:rPr>
        <w:t> </w:t>
      </w:r>
      <w:r>
        <w:rPr/>
        <w:t>Público, observando o estabelecido no edital licitatório e no contrato de prestação de serviço e deverão:</w:t>
      </w:r>
    </w:p>
    <w:p>
      <w:pPr>
        <w:pStyle w:val="ListParagraph"/>
        <w:numPr>
          <w:ilvl w:val="0"/>
          <w:numId w:val="1"/>
        </w:numPr>
        <w:tabs>
          <w:tab w:pos="2583" w:val="left" w:leader="none"/>
        </w:tabs>
        <w:spacing w:line="196" w:lineRule="auto" w:before="219" w:after="0"/>
        <w:ind w:left="2457" w:right="940" w:firstLine="0"/>
        <w:jc w:val="both"/>
        <w:rPr>
          <w:sz w:val="22"/>
        </w:rPr>
      </w:pPr>
      <w:r>
        <w:rPr>
          <w:sz w:val="22"/>
        </w:rPr>
        <w:t>- incorporar parcela das receitas alternativas em favor da modicidade da tarifa ao usuário;</w:t>
      </w:r>
    </w:p>
    <w:p>
      <w:pPr>
        <w:pStyle w:val="ListParagraph"/>
        <w:numPr>
          <w:ilvl w:val="0"/>
          <w:numId w:val="1"/>
        </w:numPr>
        <w:tabs>
          <w:tab w:pos="2626" w:val="left" w:leader="none"/>
        </w:tabs>
        <w:spacing w:line="196" w:lineRule="auto" w:before="220" w:after="0"/>
        <w:ind w:left="2457" w:right="938" w:firstLine="0"/>
        <w:jc w:val="both"/>
        <w:rPr>
          <w:sz w:val="22"/>
        </w:rPr>
      </w:pPr>
      <w:r>
        <w:rPr>
          <w:sz w:val="22"/>
        </w:rPr>
        <w:t>- incorporar índice de transferência de parcela dos ganhos de eficiência e produtividade das empresas concessionárias aos usuários;</w:t>
      </w:r>
    </w:p>
    <w:p>
      <w:pPr>
        <w:pStyle w:val="ListParagraph"/>
        <w:numPr>
          <w:ilvl w:val="0"/>
          <w:numId w:val="1"/>
        </w:numPr>
        <w:tabs>
          <w:tab w:pos="2734" w:val="left" w:leader="none"/>
        </w:tabs>
        <w:spacing w:line="196" w:lineRule="auto" w:before="219" w:after="0"/>
        <w:ind w:left="2457" w:right="940" w:firstLine="0"/>
        <w:jc w:val="left"/>
        <w:rPr>
          <w:sz w:val="22"/>
        </w:rPr>
      </w:pPr>
      <w:r>
        <w:rPr>
          <w:sz w:val="22"/>
        </w:rPr>
        <w:t>-</w:t>
      </w:r>
      <w:r>
        <w:rPr>
          <w:spacing w:val="40"/>
          <w:sz w:val="22"/>
        </w:rPr>
        <w:t> </w:t>
      </w:r>
      <w:r>
        <w:rPr>
          <w:sz w:val="22"/>
        </w:rPr>
        <w:t>aferir</w:t>
      </w:r>
      <w:r>
        <w:rPr>
          <w:spacing w:val="40"/>
          <w:sz w:val="22"/>
        </w:rPr>
        <w:t> </w:t>
      </w:r>
      <w:r>
        <w:rPr>
          <w:sz w:val="22"/>
        </w:rPr>
        <w:t>o</w:t>
      </w:r>
      <w:r>
        <w:rPr>
          <w:spacing w:val="40"/>
          <w:sz w:val="22"/>
        </w:rPr>
        <w:t> </w:t>
      </w:r>
      <w:r>
        <w:rPr>
          <w:sz w:val="22"/>
        </w:rPr>
        <w:t>equilíbrio</w:t>
      </w:r>
      <w:r>
        <w:rPr>
          <w:spacing w:val="40"/>
          <w:sz w:val="22"/>
        </w:rPr>
        <w:t> </w:t>
      </w:r>
      <w:r>
        <w:rPr>
          <w:sz w:val="22"/>
        </w:rPr>
        <w:t>econômico-financeiro</w:t>
      </w:r>
      <w:r>
        <w:rPr>
          <w:spacing w:val="40"/>
          <w:sz w:val="22"/>
        </w:rPr>
        <w:t> </w:t>
      </w:r>
      <w:r>
        <w:rPr>
          <w:sz w:val="22"/>
        </w:rPr>
        <w:t>do</w:t>
      </w:r>
      <w:r>
        <w:rPr>
          <w:spacing w:val="40"/>
          <w:sz w:val="22"/>
        </w:rPr>
        <w:t> </w:t>
      </w:r>
      <w:r>
        <w:rPr>
          <w:sz w:val="22"/>
        </w:rPr>
        <w:t>Sistema</w:t>
      </w:r>
      <w:r>
        <w:rPr>
          <w:spacing w:val="40"/>
          <w:sz w:val="22"/>
        </w:rPr>
        <w:t> </w:t>
      </w:r>
      <w:r>
        <w:rPr>
          <w:sz w:val="22"/>
        </w:rPr>
        <w:t>de</w:t>
      </w:r>
      <w:r>
        <w:rPr>
          <w:spacing w:val="40"/>
          <w:sz w:val="22"/>
        </w:rPr>
        <w:t> </w:t>
      </w:r>
      <w:r>
        <w:rPr>
          <w:sz w:val="22"/>
        </w:rPr>
        <w:t>Transporte Coletivo</w:t>
      </w:r>
      <w:r>
        <w:rPr>
          <w:spacing w:val="40"/>
          <w:sz w:val="22"/>
        </w:rPr>
        <w:t> </w:t>
      </w:r>
      <w:r>
        <w:rPr>
          <w:sz w:val="22"/>
        </w:rPr>
        <w:t>Urbano</w:t>
      </w:r>
      <w:r>
        <w:rPr>
          <w:spacing w:val="40"/>
          <w:sz w:val="22"/>
        </w:rPr>
        <w:t> </w:t>
      </w:r>
      <w:r>
        <w:rPr>
          <w:sz w:val="22"/>
        </w:rPr>
        <w:t>de</w:t>
      </w:r>
      <w:r>
        <w:rPr>
          <w:spacing w:val="40"/>
          <w:sz w:val="22"/>
        </w:rPr>
        <w:t> </w:t>
      </w:r>
      <w:r>
        <w:rPr>
          <w:sz w:val="22"/>
        </w:rPr>
        <w:t>Passageiros,</w:t>
      </w:r>
      <w:r>
        <w:rPr>
          <w:spacing w:val="40"/>
          <w:sz w:val="22"/>
        </w:rPr>
        <w:t> </w:t>
      </w:r>
      <w:r>
        <w:rPr>
          <w:sz w:val="22"/>
        </w:rPr>
        <w:t>conforme</w:t>
      </w:r>
      <w:r>
        <w:rPr>
          <w:spacing w:val="40"/>
          <w:sz w:val="22"/>
        </w:rPr>
        <w:t> </w:t>
      </w:r>
      <w:r>
        <w:rPr>
          <w:sz w:val="22"/>
        </w:rPr>
        <w:t>parâmetros,</w:t>
      </w:r>
      <w:r>
        <w:rPr>
          <w:spacing w:val="40"/>
          <w:sz w:val="22"/>
        </w:rPr>
        <w:t> </w:t>
      </w:r>
      <w:r>
        <w:rPr>
          <w:sz w:val="22"/>
        </w:rPr>
        <w:t>metodologia</w:t>
      </w:r>
      <w:r>
        <w:rPr>
          <w:spacing w:val="40"/>
          <w:sz w:val="22"/>
        </w:rPr>
        <w:t> </w:t>
      </w:r>
      <w:r>
        <w:rPr>
          <w:sz w:val="22"/>
        </w:rPr>
        <w:t>de</w:t>
      </w:r>
    </w:p>
    <w:p>
      <w:pPr>
        <w:pStyle w:val="ListParagraph"/>
        <w:spacing w:after="0" w:line="196" w:lineRule="auto"/>
        <w:jc w:val="left"/>
        <w:rPr>
          <w:sz w:val="22"/>
        </w:rPr>
        <w:sectPr>
          <w:pgSz w:w="11910" w:h="16840"/>
          <w:pgMar w:header="390" w:footer="624" w:top="2040" w:bottom="820" w:left="1700" w:right="0"/>
        </w:sectPr>
      </w:pPr>
    </w:p>
    <w:p>
      <w:pPr>
        <w:pStyle w:val="BodyText"/>
        <w:spacing w:before="264"/>
      </w:pPr>
    </w:p>
    <w:p>
      <w:pPr>
        <w:pStyle w:val="BodyText"/>
        <w:spacing w:line="196" w:lineRule="auto"/>
        <w:ind w:left="2457" w:right="941"/>
        <w:jc w:val="both"/>
      </w:pPr>
      <w:r>
        <w:rPr/>
        <w:t>cálculos ou indicador definido em edital licitatório ou no contrato de prestação de serviço;</w:t>
      </w:r>
    </w:p>
    <w:p>
      <w:pPr>
        <w:pStyle w:val="ListParagraph"/>
        <w:numPr>
          <w:ilvl w:val="0"/>
          <w:numId w:val="1"/>
        </w:numPr>
        <w:tabs>
          <w:tab w:pos="2729" w:val="left" w:leader="none"/>
        </w:tabs>
        <w:spacing w:line="196" w:lineRule="auto" w:before="220" w:after="0"/>
        <w:ind w:left="2457" w:right="939" w:firstLine="0"/>
        <w:jc w:val="both"/>
        <w:rPr>
          <w:sz w:val="22"/>
        </w:rPr>
      </w:pPr>
      <w:r>
        <w:rPr>
          <w:sz w:val="22"/>
        </w:rPr>
        <w:t>- incorporar o desconto tarifário apresentado na proposta técnica da concessionária no processo licitatório.</w:t>
      </w:r>
    </w:p>
    <w:p>
      <w:pPr>
        <w:pStyle w:val="BodyText"/>
        <w:spacing w:line="196" w:lineRule="auto" w:before="219"/>
        <w:ind w:left="2457" w:right="939"/>
        <w:jc w:val="both"/>
      </w:pPr>
      <w:r>
        <w:rPr/>
        <w:t>Parágrafo único. O Poder Público, quando proceder à revisão extraordinária das tarifas, deverá emitir parecer técnico com todos os levantamentos previstos</w:t>
      </w:r>
      <w:r>
        <w:rPr>
          <w:spacing w:val="-1"/>
        </w:rPr>
        <w:t> </w:t>
      </w:r>
      <w:r>
        <w:rPr/>
        <w:t>no edital licitatório e no contrato de prestação de serviço, visando à aferição do custo operacional do Sistema de Transporte Coletivo Urbano de Passageiros, submetendo a apreciação do Conselho Municipal de Trânsito e Transporte.” (NR)</w:t>
      </w:r>
    </w:p>
    <w:p>
      <w:pPr>
        <w:pStyle w:val="BodyText"/>
      </w:pPr>
    </w:p>
    <w:p>
      <w:pPr>
        <w:pStyle w:val="BodyText"/>
        <w:spacing w:before="62"/>
      </w:pPr>
    </w:p>
    <w:p>
      <w:pPr>
        <w:pStyle w:val="BodyText"/>
        <w:spacing w:before="1"/>
        <w:ind w:left="355"/>
      </w:pPr>
      <w:r>
        <w:rPr/>
        <w:drawing>
          <wp:anchor distT="0" distB="0" distL="0" distR="0" allowOverlap="1" layoutInCell="1" locked="0" behindDoc="0" simplePos="0" relativeHeight="15729664">
            <wp:simplePos x="0" y="0"/>
            <wp:positionH relativeFrom="page">
              <wp:posOffset>7217155</wp:posOffset>
            </wp:positionH>
            <wp:positionV relativeFrom="paragraph">
              <wp:posOffset>-163424</wp:posOffset>
            </wp:positionV>
            <wp:extent cx="342900" cy="3616043"/>
            <wp:effectExtent l="0" t="0" r="0" b="0"/>
            <wp:wrapNone/>
            <wp:docPr id="6" name="Image 6"/>
            <wp:cNvGraphicFramePr>
              <a:graphicFrameLocks/>
            </wp:cNvGraphicFramePr>
            <a:graphic>
              <a:graphicData uri="http://schemas.openxmlformats.org/drawingml/2006/picture">
                <pic:pic>
                  <pic:nvPicPr>
                    <pic:cNvPr id="6" name="Image 6"/>
                    <pic:cNvPicPr/>
                  </pic:nvPicPr>
                  <pic:blipFill>
                    <a:blip r:embed="rId7" cstate="print"/>
                    <a:stretch>
                      <a:fillRect/>
                    </a:stretch>
                  </pic:blipFill>
                  <pic:spPr>
                    <a:xfrm>
                      <a:off x="0" y="0"/>
                      <a:ext cx="342900" cy="3616043"/>
                    </a:xfrm>
                    <a:prstGeom prst="rect">
                      <a:avLst/>
                    </a:prstGeom>
                  </pic:spPr>
                </pic:pic>
              </a:graphicData>
            </a:graphic>
          </wp:anchor>
        </w:drawing>
      </w:r>
      <w:r>
        <w:rPr/>
        <w:t>Art.</w:t>
      </w:r>
      <w:r>
        <w:rPr>
          <w:spacing w:val="-5"/>
        </w:rPr>
        <w:t> </w:t>
      </w:r>
      <w:r>
        <w:rPr/>
        <w:t>7º</w:t>
      </w:r>
      <w:r>
        <w:rPr>
          <w:spacing w:val="-3"/>
        </w:rPr>
        <w:t> </w:t>
      </w:r>
      <w:r>
        <w:rPr/>
        <w:t>Altera</w:t>
      </w:r>
      <w:r>
        <w:rPr>
          <w:spacing w:val="-3"/>
        </w:rPr>
        <w:t> </w:t>
      </w:r>
      <w:r>
        <w:rPr/>
        <w:t>o</w:t>
      </w:r>
      <w:r>
        <w:rPr>
          <w:spacing w:val="-3"/>
        </w:rPr>
        <w:t> </w:t>
      </w:r>
      <w:r>
        <w:rPr/>
        <w:t>art.</w:t>
      </w:r>
      <w:r>
        <w:rPr>
          <w:spacing w:val="-3"/>
        </w:rPr>
        <w:t> </w:t>
      </w:r>
      <w:r>
        <w:rPr/>
        <w:t>40</w:t>
      </w:r>
      <w:r>
        <w:rPr>
          <w:spacing w:val="-3"/>
        </w:rPr>
        <w:t> </w:t>
      </w:r>
      <w:r>
        <w:rPr/>
        <w:t>da</w:t>
      </w:r>
      <w:r>
        <w:rPr>
          <w:spacing w:val="-3"/>
        </w:rPr>
        <w:t> </w:t>
      </w:r>
      <w:r>
        <w:rPr/>
        <w:t>Lei</w:t>
      </w:r>
      <w:r>
        <w:rPr>
          <w:spacing w:val="-3"/>
        </w:rPr>
        <w:t> </w:t>
      </w:r>
      <w:r>
        <w:rPr/>
        <w:t>nº</w:t>
      </w:r>
      <w:r>
        <w:rPr>
          <w:spacing w:val="-3"/>
        </w:rPr>
        <w:t> </w:t>
      </w:r>
      <w:r>
        <w:rPr/>
        <w:t>3.141,</w:t>
      </w:r>
      <w:r>
        <w:rPr>
          <w:spacing w:val="-3"/>
        </w:rPr>
        <w:t> </w:t>
      </w:r>
      <w:r>
        <w:rPr/>
        <w:t>de</w:t>
      </w:r>
      <w:r>
        <w:rPr>
          <w:spacing w:val="-3"/>
        </w:rPr>
        <w:t> </w:t>
      </w:r>
      <w:r>
        <w:rPr/>
        <w:t>2013,</w:t>
      </w:r>
      <w:r>
        <w:rPr>
          <w:spacing w:val="-3"/>
        </w:rPr>
        <w:t> </w:t>
      </w:r>
      <w:r>
        <w:rPr/>
        <w:t>que</w:t>
      </w:r>
      <w:r>
        <w:rPr>
          <w:spacing w:val="-3"/>
        </w:rPr>
        <w:t> </w:t>
      </w:r>
      <w:r>
        <w:rPr/>
        <w:t>passa</w:t>
      </w:r>
      <w:r>
        <w:rPr>
          <w:spacing w:val="-3"/>
        </w:rPr>
        <w:t> </w:t>
      </w:r>
      <w:r>
        <w:rPr/>
        <w:t>a</w:t>
      </w:r>
      <w:r>
        <w:rPr>
          <w:spacing w:val="-3"/>
        </w:rPr>
        <w:t> </w:t>
      </w:r>
      <w:r>
        <w:rPr/>
        <w:t>vigorar</w:t>
      </w:r>
      <w:r>
        <w:rPr>
          <w:spacing w:val="-3"/>
        </w:rPr>
        <w:t> </w:t>
      </w:r>
      <w:r>
        <w:rPr/>
        <w:t>com</w:t>
      </w:r>
      <w:r>
        <w:rPr>
          <w:spacing w:val="-3"/>
        </w:rPr>
        <w:t> </w:t>
      </w:r>
      <w:r>
        <w:rPr/>
        <w:t>a</w:t>
      </w:r>
      <w:r>
        <w:rPr>
          <w:spacing w:val="-3"/>
        </w:rPr>
        <w:t> </w:t>
      </w:r>
      <w:r>
        <w:rPr/>
        <w:t>seguinte</w:t>
      </w:r>
      <w:r>
        <w:rPr>
          <w:spacing w:val="-3"/>
        </w:rPr>
        <w:t> </w:t>
      </w:r>
      <w:r>
        <w:rPr>
          <w:spacing w:val="-2"/>
        </w:rPr>
        <w:t>redação:</w:t>
      </w:r>
    </w:p>
    <w:p>
      <w:pPr>
        <w:pStyle w:val="BodyText"/>
      </w:pPr>
    </w:p>
    <w:p>
      <w:pPr>
        <w:pStyle w:val="BodyText"/>
        <w:spacing w:before="90"/>
      </w:pPr>
    </w:p>
    <w:p>
      <w:pPr>
        <w:pStyle w:val="BodyText"/>
        <w:spacing w:line="196" w:lineRule="auto"/>
        <w:ind w:left="2457" w:right="938"/>
        <w:jc w:val="both"/>
      </w:pPr>
      <w:r>
        <w:rPr/>
        <w:t>“Art. 40. As revisões dos custos do sistema serão calculadas tendo como metodologia a planilha do desenvolvida pela ANTP (Associação Nacional de Transportes</w:t>
      </w:r>
      <w:r>
        <w:rPr>
          <w:spacing w:val="-2"/>
        </w:rPr>
        <w:t> </w:t>
      </w:r>
      <w:r>
        <w:rPr/>
        <w:t>Públicos)</w:t>
      </w:r>
      <w:r>
        <w:rPr>
          <w:spacing w:val="-1"/>
        </w:rPr>
        <w:t> </w:t>
      </w:r>
      <w:r>
        <w:rPr/>
        <w:t>no</w:t>
      </w:r>
      <w:r>
        <w:rPr>
          <w:spacing w:val="-1"/>
        </w:rPr>
        <w:t> </w:t>
      </w:r>
      <w:r>
        <w:rPr/>
        <w:t>ano</w:t>
      </w:r>
      <w:r>
        <w:rPr>
          <w:spacing w:val="-1"/>
        </w:rPr>
        <w:t> </w:t>
      </w:r>
      <w:r>
        <w:rPr/>
        <w:t>de</w:t>
      </w:r>
      <w:r>
        <w:rPr>
          <w:spacing w:val="-1"/>
        </w:rPr>
        <w:t> </w:t>
      </w:r>
      <w:r>
        <w:rPr/>
        <w:t>2017</w:t>
      </w:r>
      <w:r>
        <w:rPr>
          <w:spacing w:val="-1"/>
        </w:rPr>
        <w:t> </w:t>
      </w:r>
      <w:r>
        <w:rPr/>
        <w:t>ou</w:t>
      </w:r>
      <w:r>
        <w:rPr>
          <w:spacing w:val="-1"/>
        </w:rPr>
        <w:t> </w:t>
      </w:r>
      <w:r>
        <w:rPr/>
        <w:t>outra</w:t>
      </w:r>
      <w:r>
        <w:rPr>
          <w:spacing w:val="-1"/>
        </w:rPr>
        <w:t> </w:t>
      </w:r>
      <w:r>
        <w:rPr/>
        <w:t>com</w:t>
      </w:r>
      <w:r>
        <w:rPr>
          <w:spacing w:val="-1"/>
        </w:rPr>
        <w:t> </w:t>
      </w:r>
      <w:r>
        <w:rPr/>
        <w:t>credibilidade</w:t>
      </w:r>
      <w:r>
        <w:rPr>
          <w:spacing w:val="-1"/>
        </w:rPr>
        <w:t> </w:t>
      </w:r>
      <w:r>
        <w:rPr/>
        <w:t>nacional</w:t>
      </w:r>
      <w:r>
        <w:rPr>
          <w:spacing w:val="-1"/>
        </w:rPr>
        <w:t> </w:t>
      </w:r>
      <w:r>
        <w:rPr/>
        <w:t>a ser instituída, considerando os seguintes aspectos:</w:t>
      </w:r>
    </w:p>
    <w:p>
      <w:pPr>
        <w:pStyle w:val="ListParagraph"/>
        <w:numPr>
          <w:ilvl w:val="0"/>
          <w:numId w:val="2"/>
        </w:numPr>
        <w:tabs>
          <w:tab w:pos="2561" w:val="left" w:leader="none"/>
        </w:tabs>
        <w:spacing w:line="240" w:lineRule="auto" w:before="182" w:after="0"/>
        <w:ind w:left="2561" w:right="0" w:hanging="104"/>
        <w:jc w:val="left"/>
        <w:rPr>
          <w:sz w:val="22"/>
        </w:rPr>
      </w:pPr>
      <w:r>
        <w:rPr>
          <w:sz w:val="22"/>
        </w:rPr>
        <w:t>-</w:t>
      </w:r>
      <w:r>
        <w:rPr>
          <w:spacing w:val="-5"/>
          <w:sz w:val="22"/>
        </w:rPr>
        <w:t> </w:t>
      </w:r>
      <w:r>
        <w:rPr>
          <w:sz w:val="22"/>
        </w:rPr>
        <w:t>Os</w:t>
      </w:r>
      <w:r>
        <w:rPr>
          <w:spacing w:val="-5"/>
          <w:sz w:val="22"/>
        </w:rPr>
        <w:t> </w:t>
      </w:r>
      <w:r>
        <w:rPr>
          <w:sz w:val="22"/>
        </w:rPr>
        <w:t>custos</w:t>
      </w:r>
      <w:r>
        <w:rPr>
          <w:spacing w:val="-5"/>
          <w:sz w:val="22"/>
        </w:rPr>
        <w:t> </w:t>
      </w:r>
      <w:r>
        <w:rPr>
          <w:sz w:val="22"/>
        </w:rPr>
        <w:t>variáveis</w:t>
      </w:r>
      <w:r>
        <w:rPr>
          <w:spacing w:val="-5"/>
          <w:sz w:val="22"/>
        </w:rPr>
        <w:t> </w:t>
      </w:r>
      <w:r>
        <w:rPr>
          <w:sz w:val="22"/>
        </w:rPr>
        <w:t>decorrentes</w:t>
      </w:r>
      <w:r>
        <w:rPr>
          <w:spacing w:val="-5"/>
          <w:sz w:val="22"/>
        </w:rPr>
        <w:t> </w:t>
      </w:r>
      <w:r>
        <w:rPr>
          <w:sz w:val="22"/>
        </w:rPr>
        <w:t>da</w:t>
      </w:r>
      <w:r>
        <w:rPr>
          <w:spacing w:val="-5"/>
          <w:sz w:val="22"/>
        </w:rPr>
        <w:t> </w:t>
      </w:r>
      <w:r>
        <w:rPr>
          <w:spacing w:val="-2"/>
          <w:sz w:val="22"/>
        </w:rPr>
        <w:t>rodagem;</w:t>
      </w:r>
    </w:p>
    <w:p>
      <w:pPr>
        <w:pStyle w:val="ListParagraph"/>
        <w:numPr>
          <w:ilvl w:val="0"/>
          <w:numId w:val="2"/>
        </w:numPr>
        <w:tabs>
          <w:tab w:pos="2639" w:val="left" w:leader="none"/>
        </w:tabs>
        <w:spacing w:line="196" w:lineRule="auto" w:before="209" w:after="0"/>
        <w:ind w:left="2457" w:right="939" w:firstLine="0"/>
        <w:jc w:val="both"/>
        <w:rPr>
          <w:sz w:val="22"/>
        </w:rPr>
      </w:pPr>
      <w:r>
        <w:rPr>
          <w:sz w:val="22"/>
        </w:rPr>
        <w:t>- As provisões para depreciação e renovação e manutenção do material </w:t>
      </w:r>
      <w:r>
        <w:rPr>
          <w:spacing w:val="-2"/>
          <w:sz w:val="22"/>
        </w:rPr>
        <w:t>rodante;</w:t>
      </w:r>
    </w:p>
    <w:p>
      <w:pPr>
        <w:pStyle w:val="ListParagraph"/>
        <w:numPr>
          <w:ilvl w:val="0"/>
          <w:numId w:val="2"/>
        </w:numPr>
        <w:tabs>
          <w:tab w:pos="2693" w:val="left" w:leader="none"/>
        </w:tabs>
        <w:spacing w:line="196" w:lineRule="auto" w:before="219" w:after="0"/>
        <w:ind w:left="2457" w:right="940" w:firstLine="0"/>
        <w:jc w:val="both"/>
        <w:rPr>
          <w:sz w:val="22"/>
        </w:rPr>
      </w:pPr>
      <w:r>
        <w:rPr>
          <w:sz w:val="22"/>
        </w:rPr>
        <w:t>- Os custos com pessoal de operação e manutenção com as obrigações das leis sociais;</w:t>
      </w:r>
    </w:p>
    <w:p>
      <w:pPr>
        <w:pStyle w:val="ListParagraph"/>
        <w:numPr>
          <w:ilvl w:val="0"/>
          <w:numId w:val="2"/>
        </w:numPr>
        <w:tabs>
          <w:tab w:pos="2685" w:val="left" w:leader="none"/>
        </w:tabs>
        <w:spacing w:line="240" w:lineRule="auto" w:before="182" w:after="0"/>
        <w:ind w:left="2685" w:right="0" w:hanging="228"/>
        <w:jc w:val="left"/>
        <w:rPr>
          <w:sz w:val="22"/>
        </w:rPr>
      </w:pPr>
      <w:r>
        <w:rPr>
          <w:sz w:val="22"/>
        </w:rPr>
        <w:t>-</w:t>
      </w:r>
      <w:r>
        <w:rPr>
          <w:spacing w:val="-4"/>
          <w:sz w:val="22"/>
        </w:rPr>
        <w:t> </w:t>
      </w:r>
      <w:r>
        <w:rPr>
          <w:sz w:val="22"/>
        </w:rPr>
        <w:t>A</w:t>
      </w:r>
      <w:r>
        <w:rPr>
          <w:spacing w:val="-4"/>
          <w:sz w:val="22"/>
        </w:rPr>
        <w:t> </w:t>
      </w:r>
      <w:r>
        <w:rPr>
          <w:sz w:val="22"/>
        </w:rPr>
        <w:t>justa</w:t>
      </w:r>
      <w:r>
        <w:rPr>
          <w:spacing w:val="-4"/>
          <w:sz w:val="22"/>
        </w:rPr>
        <w:t> </w:t>
      </w:r>
      <w:r>
        <w:rPr>
          <w:sz w:val="22"/>
        </w:rPr>
        <w:t>remuneração</w:t>
      </w:r>
      <w:r>
        <w:rPr>
          <w:spacing w:val="-4"/>
          <w:sz w:val="22"/>
        </w:rPr>
        <w:t> </w:t>
      </w:r>
      <w:r>
        <w:rPr>
          <w:sz w:val="22"/>
        </w:rPr>
        <w:t>do</w:t>
      </w:r>
      <w:r>
        <w:rPr>
          <w:spacing w:val="-4"/>
          <w:sz w:val="22"/>
        </w:rPr>
        <w:t> </w:t>
      </w:r>
      <w:r>
        <w:rPr>
          <w:sz w:val="22"/>
        </w:rPr>
        <w:t>capital</w:t>
      </w:r>
      <w:r>
        <w:rPr>
          <w:spacing w:val="-3"/>
          <w:sz w:val="22"/>
        </w:rPr>
        <w:t> </w:t>
      </w:r>
      <w:r>
        <w:rPr>
          <w:spacing w:val="-2"/>
          <w:sz w:val="22"/>
        </w:rPr>
        <w:t>investido;</w:t>
      </w:r>
    </w:p>
    <w:p>
      <w:pPr>
        <w:pStyle w:val="ListParagraph"/>
        <w:numPr>
          <w:ilvl w:val="0"/>
          <w:numId w:val="2"/>
        </w:numPr>
        <w:tabs>
          <w:tab w:pos="2630" w:val="left" w:leader="none"/>
        </w:tabs>
        <w:spacing w:line="240" w:lineRule="auto" w:before="172" w:after="0"/>
        <w:ind w:left="2630" w:right="0" w:hanging="173"/>
        <w:jc w:val="left"/>
        <w:rPr>
          <w:sz w:val="22"/>
        </w:rPr>
      </w:pPr>
      <w:r>
        <w:rPr>
          <w:sz w:val="22"/>
        </w:rPr>
        <w:t>–</w:t>
      </w:r>
      <w:r>
        <w:rPr>
          <w:spacing w:val="-1"/>
          <w:sz w:val="22"/>
        </w:rPr>
        <w:t> </w:t>
      </w:r>
      <w:r>
        <w:rPr>
          <w:spacing w:val="-2"/>
          <w:sz w:val="22"/>
        </w:rPr>
        <w:t>Tributos;</w:t>
      </w:r>
    </w:p>
    <w:p>
      <w:pPr>
        <w:pStyle w:val="ListParagraph"/>
        <w:numPr>
          <w:ilvl w:val="0"/>
          <w:numId w:val="2"/>
        </w:numPr>
        <w:tabs>
          <w:tab w:pos="2708" w:val="left" w:leader="none"/>
        </w:tabs>
        <w:spacing w:line="196" w:lineRule="auto" w:before="209" w:after="0"/>
        <w:ind w:left="2457" w:right="939" w:firstLine="0"/>
        <w:jc w:val="both"/>
        <w:rPr>
          <w:sz w:val="22"/>
        </w:rPr>
      </w:pPr>
      <w:r>
        <w:rPr>
          <w:sz w:val="22"/>
        </w:rPr>
        <w:t>– Receita tarifária proveniente do número de passageiros efetivamente pagantes (equivalente);</w:t>
      </w:r>
    </w:p>
    <w:p>
      <w:pPr>
        <w:pStyle w:val="ListParagraph"/>
        <w:numPr>
          <w:ilvl w:val="0"/>
          <w:numId w:val="2"/>
        </w:numPr>
        <w:tabs>
          <w:tab w:pos="2739" w:val="left" w:leader="none"/>
        </w:tabs>
        <w:spacing w:line="240" w:lineRule="auto" w:before="182" w:after="0"/>
        <w:ind w:left="2739" w:right="0" w:hanging="282"/>
        <w:jc w:val="left"/>
        <w:rPr>
          <w:sz w:val="22"/>
        </w:rPr>
      </w:pPr>
      <w:r>
        <w:rPr>
          <w:sz w:val="22"/>
        </w:rPr>
        <w:t>–</w:t>
      </w:r>
      <w:r>
        <w:rPr>
          <w:spacing w:val="-10"/>
          <w:sz w:val="22"/>
        </w:rPr>
        <w:t> </w:t>
      </w:r>
      <w:r>
        <w:rPr>
          <w:sz w:val="22"/>
        </w:rPr>
        <w:t>Quaisquer</w:t>
      </w:r>
      <w:r>
        <w:rPr>
          <w:spacing w:val="-7"/>
          <w:sz w:val="22"/>
        </w:rPr>
        <w:t> </w:t>
      </w:r>
      <w:r>
        <w:rPr>
          <w:sz w:val="22"/>
        </w:rPr>
        <w:t>receitas</w:t>
      </w:r>
      <w:r>
        <w:rPr>
          <w:spacing w:val="-7"/>
          <w:sz w:val="22"/>
        </w:rPr>
        <w:t> </w:t>
      </w:r>
      <w:r>
        <w:rPr>
          <w:sz w:val="22"/>
        </w:rPr>
        <w:t>extratarifárias</w:t>
      </w:r>
      <w:r>
        <w:rPr>
          <w:spacing w:val="-8"/>
          <w:sz w:val="22"/>
        </w:rPr>
        <w:t> </w:t>
      </w:r>
      <w:r>
        <w:rPr>
          <w:sz w:val="22"/>
        </w:rPr>
        <w:t>do</w:t>
      </w:r>
      <w:r>
        <w:rPr>
          <w:spacing w:val="-7"/>
          <w:sz w:val="22"/>
        </w:rPr>
        <w:t> </w:t>
      </w:r>
      <w:r>
        <w:rPr>
          <w:sz w:val="22"/>
        </w:rPr>
        <w:t>sistema.”</w:t>
      </w:r>
      <w:r>
        <w:rPr>
          <w:spacing w:val="-7"/>
          <w:sz w:val="22"/>
        </w:rPr>
        <w:t> </w:t>
      </w:r>
      <w:r>
        <w:rPr>
          <w:spacing w:val="-4"/>
          <w:sz w:val="22"/>
        </w:rPr>
        <w:t>(NR)</w:t>
      </w:r>
    </w:p>
    <w:p>
      <w:pPr>
        <w:pStyle w:val="BodyText"/>
      </w:pPr>
    </w:p>
    <w:p>
      <w:pPr>
        <w:pStyle w:val="BodyText"/>
        <w:spacing w:before="52"/>
      </w:pPr>
    </w:p>
    <w:p>
      <w:pPr>
        <w:pStyle w:val="BodyText"/>
        <w:ind w:left="355"/>
      </w:pPr>
      <w:r>
        <w:rPr/>
        <w:t>Art.</w:t>
      </w:r>
      <w:r>
        <w:rPr>
          <w:spacing w:val="-6"/>
        </w:rPr>
        <w:t> </w:t>
      </w:r>
      <w:r>
        <w:rPr/>
        <w:t>8º</w:t>
      </w:r>
      <w:r>
        <w:rPr>
          <w:spacing w:val="-4"/>
        </w:rPr>
        <w:t> </w:t>
      </w:r>
      <w:r>
        <w:rPr/>
        <w:t>Inclui</w:t>
      </w:r>
      <w:r>
        <w:rPr>
          <w:spacing w:val="-3"/>
        </w:rPr>
        <w:t> </w:t>
      </w:r>
      <w:r>
        <w:rPr/>
        <w:t>o</w:t>
      </w:r>
      <w:r>
        <w:rPr>
          <w:spacing w:val="-4"/>
        </w:rPr>
        <w:t> </w:t>
      </w:r>
      <w:r>
        <w:rPr/>
        <w:t>art.</w:t>
      </w:r>
      <w:r>
        <w:rPr>
          <w:spacing w:val="-3"/>
        </w:rPr>
        <w:t> </w:t>
      </w:r>
      <w:r>
        <w:rPr/>
        <w:t>44-A.</w:t>
      </w:r>
      <w:r>
        <w:rPr>
          <w:spacing w:val="-4"/>
        </w:rPr>
        <w:t> </w:t>
      </w:r>
      <w:r>
        <w:rPr/>
        <w:t>na</w:t>
      </w:r>
      <w:r>
        <w:rPr>
          <w:spacing w:val="-3"/>
        </w:rPr>
        <w:t> </w:t>
      </w:r>
      <w:r>
        <w:rPr/>
        <w:t>Lei</w:t>
      </w:r>
      <w:r>
        <w:rPr>
          <w:spacing w:val="-4"/>
        </w:rPr>
        <w:t> </w:t>
      </w:r>
      <w:r>
        <w:rPr/>
        <w:t>nº</w:t>
      </w:r>
      <w:r>
        <w:rPr>
          <w:spacing w:val="-3"/>
        </w:rPr>
        <w:t> </w:t>
      </w:r>
      <w:r>
        <w:rPr/>
        <w:t>3.141,</w:t>
      </w:r>
      <w:r>
        <w:rPr>
          <w:spacing w:val="-4"/>
        </w:rPr>
        <w:t> </w:t>
      </w:r>
      <w:r>
        <w:rPr/>
        <w:t>de</w:t>
      </w:r>
      <w:r>
        <w:rPr>
          <w:spacing w:val="-3"/>
        </w:rPr>
        <w:t> </w:t>
      </w:r>
      <w:r>
        <w:rPr/>
        <w:t>2013,</w:t>
      </w:r>
      <w:r>
        <w:rPr>
          <w:spacing w:val="-4"/>
        </w:rPr>
        <w:t> </w:t>
      </w:r>
      <w:r>
        <w:rPr/>
        <w:t>com</w:t>
      </w:r>
      <w:r>
        <w:rPr>
          <w:spacing w:val="-3"/>
        </w:rPr>
        <w:t> </w:t>
      </w:r>
      <w:r>
        <w:rPr/>
        <w:t>a</w:t>
      </w:r>
      <w:r>
        <w:rPr>
          <w:spacing w:val="-4"/>
        </w:rPr>
        <w:t> </w:t>
      </w:r>
      <w:r>
        <w:rPr/>
        <w:t>seguinte</w:t>
      </w:r>
      <w:r>
        <w:rPr>
          <w:spacing w:val="-3"/>
        </w:rPr>
        <w:t> </w:t>
      </w:r>
      <w:r>
        <w:rPr>
          <w:spacing w:val="-2"/>
        </w:rPr>
        <w:t>redação:</w:t>
      </w:r>
    </w:p>
    <w:p>
      <w:pPr>
        <w:pStyle w:val="BodyText"/>
      </w:pPr>
    </w:p>
    <w:p>
      <w:pPr>
        <w:pStyle w:val="BodyText"/>
        <w:spacing w:before="91"/>
      </w:pPr>
    </w:p>
    <w:p>
      <w:pPr>
        <w:pStyle w:val="BodyText"/>
        <w:spacing w:line="196" w:lineRule="auto"/>
        <w:ind w:left="2457" w:right="940"/>
        <w:jc w:val="both"/>
      </w:pPr>
      <w:r>
        <w:rPr/>
        <w:t>“Art. 44-A. Fica o Poder Público autorizado a conceder subsídio tarifário ao Transporte Público Coletivo Urbano de Passageiros sob o regime de concessão ou permissão do serviço público, assegurando a modicidade das tarifas, a generalidade do transporte público coletivo e a preservação do equilíbrio econômico-financeiro nos contratos de concessão ou permissão.</w:t>
      </w:r>
    </w:p>
    <w:p>
      <w:pPr>
        <w:pStyle w:val="BodyText"/>
        <w:spacing w:line="196" w:lineRule="auto" w:before="219"/>
        <w:ind w:left="2457" w:right="939"/>
        <w:jc w:val="both"/>
      </w:pPr>
      <w:r>
        <w:rPr/>
        <w:t>§ 1º O Município poderá receber o aporte de recursos da União e/ou do Estado</w:t>
      </w:r>
      <w:r>
        <w:rPr>
          <w:spacing w:val="-3"/>
        </w:rPr>
        <w:t> </w:t>
      </w:r>
      <w:r>
        <w:rPr/>
        <w:t>para</w:t>
      </w:r>
      <w:r>
        <w:rPr>
          <w:spacing w:val="-3"/>
        </w:rPr>
        <w:t> </w:t>
      </w:r>
      <w:r>
        <w:rPr/>
        <w:t>complementar</w:t>
      </w:r>
      <w:r>
        <w:rPr>
          <w:spacing w:val="-3"/>
        </w:rPr>
        <w:t> </w:t>
      </w:r>
      <w:r>
        <w:rPr/>
        <w:t>os</w:t>
      </w:r>
      <w:r>
        <w:rPr>
          <w:spacing w:val="-3"/>
        </w:rPr>
        <w:t> </w:t>
      </w:r>
      <w:r>
        <w:rPr/>
        <w:t>subsídios,</w:t>
      </w:r>
      <w:r>
        <w:rPr>
          <w:spacing w:val="-3"/>
        </w:rPr>
        <w:t> </w:t>
      </w:r>
      <w:r>
        <w:rPr/>
        <w:t>bem</w:t>
      </w:r>
      <w:r>
        <w:rPr>
          <w:spacing w:val="-3"/>
        </w:rPr>
        <w:t> </w:t>
      </w:r>
      <w:r>
        <w:rPr/>
        <w:t>como</w:t>
      </w:r>
      <w:r>
        <w:rPr>
          <w:spacing w:val="-3"/>
        </w:rPr>
        <w:t> </w:t>
      </w:r>
      <w:r>
        <w:rPr/>
        <w:t>as</w:t>
      </w:r>
      <w:r>
        <w:rPr>
          <w:spacing w:val="-3"/>
        </w:rPr>
        <w:t> </w:t>
      </w:r>
      <w:r>
        <w:rPr/>
        <w:t>gratuidades</w:t>
      </w:r>
      <w:r>
        <w:rPr>
          <w:spacing w:val="-3"/>
        </w:rPr>
        <w:t> </w:t>
      </w:r>
      <w:r>
        <w:rPr/>
        <w:t>e</w:t>
      </w:r>
      <w:r>
        <w:rPr>
          <w:spacing w:val="-3"/>
        </w:rPr>
        <w:t> </w:t>
      </w:r>
      <w:r>
        <w:rPr/>
        <w:t>demais custeios do sistema de transporte coletivo público, concebido em observância à premissa de equilíbrio econômico-financeiro do contrato de concessão e as diretrizes da modicidade tarifária.</w:t>
      </w:r>
    </w:p>
    <w:p>
      <w:pPr>
        <w:pStyle w:val="BodyText"/>
        <w:spacing w:after="0" w:line="196" w:lineRule="auto"/>
        <w:jc w:val="both"/>
        <w:sectPr>
          <w:pgSz w:w="11910" w:h="16840"/>
          <w:pgMar w:header="390" w:footer="624" w:top="2040" w:bottom="820" w:left="1700" w:right="0"/>
        </w:sectPr>
      </w:pPr>
    </w:p>
    <w:p>
      <w:pPr>
        <w:pStyle w:val="BodyText"/>
        <w:spacing w:before="264"/>
      </w:pPr>
    </w:p>
    <w:p>
      <w:pPr>
        <w:pStyle w:val="BodyText"/>
        <w:spacing w:line="196" w:lineRule="auto"/>
        <w:ind w:left="2457" w:right="939"/>
        <w:jc w:val="both"/>
      </w:pPr>
      <w:r>
        <w:rPr/>
        <w:t>§ 2º O subsídio poderá ser coberto por receitas extratarifárias, receitas alternativas, subsídios orçamentários, subsídios cruzados intrassetoriais e intersetoriais provenientes de outras categorias de serviços de transporte público ou privado, de passageiros, dentre outras fontes, instituídos pelo Poder Público Municipal, inclusive taxas e tarifas, criadas como outras fontes de custeio.</w:t>
      </w:r>
    </w:p>
    <w:p>
      <w:pPr>
        <w:pStyle w:val="BodyText"/>
        <w:spacing w:line="196" w:lineRule="auto" w:before="219"/>
        <w:ind w:left="2457" w:right="940"/>
        <w:jc w:val="both"/>
      </w:pPr>
      <w:r>
        <w:rPr/>
        <w:t>§ 3º Para fins desta Lei, subsídio tarifário é o aporte financeiro para custeio do serviço de transporte coletivo público de passageiros, com a finalidade de diminuir ou isentar o valor da tarifa pública cobrada dos usuários e incentivar a utilização do transporte público.</w:t>
      </w:r>
    </w:p>
    <w:p>
      <w:pPr>
        <w:pStyle w:val="BodyText"/>
        <w:spacing w:line="196" w:lineRule="auto" w:before="219"/>
        <w:ind w:left="2457" w:right="939"/>
        <w:jc w:val="both"/>
      </w:pPr>
      <w:r>
        <w:rPr/>
        <w:drawing>
          <wp:anchor distT="0" distB="0" distL="0" distR="0" allowOverlap="1" layoutInCell="1" locked="0" behindDoc="0" simplePos="0" relativeHeight="15730176">
            <wp:simplePos x="0" y="0"/>
            <wp:positionH relativeFrom="page">
              <wp:posOffset>7217155</wp:posOffset>
            </wp:positionH>
            <wp:positionV relativeFrom="paragraph">
              <wp:posOffset>356709</wp:posOffset>
            </wp:positionV>
            <wp:extent cx="342900" cy="3616043"/>
            <wp:effectExtent l="0" t="0" r="0" b="0"/>
            <wp:wrapNone/>
            <wp:docPr id="7" name="Image 7"/>
            <wp:cNvGraphicFramePr>
              <a:graphicFrameLocks/>
            </wp:cNvGraphicFramePr>
            <a:graphic>
              <a:graphicData uri="http://schemas.openxmlformats.org/drawingml/2006/picture">
                <pic:pic>
                  <pic:nvPicPr>
                    <pic:cNvPr id="7" name="Image 7"/>
                    <pic:cNvPicPr/>
                  </pic:nvPicPr>
                  <pic:blipFill>
                    <a:blip r:embed="rId7" cstate="print"/>
                    <a:stretch>
                      <a:fillRect/>
                    </a:stretch>
                  </pic:blipFill>
                  <pic:spPr>
                    <a:xfrm>
                      <a:off x="0" y="0"/>
                      <a:ext cx="342900" cy="3616043"/>
                    </a:xfrm>
                    <a:prstGeom prst="rect">
                      <a:avLst/>
                    </a:prstGeom>
                  </pic:spPr>
                </pic:pic>
              </a:graphicData>
            </a:graphic>
          </wp:anchor>
        </w:drawing>
      </w:r>
      <w:r>
        <w:rPr/>
        <w:t>§ 4º A concessão de subsídio deverá estar em consonância com os princípios, as diretrizes e os objetivos da Política Nacional de Mobilidade Urbana, instituída por intermédio da Lei Federal nº 12.587, de 03 de janeiro de 2012, e eventuais alterações, fazendo prevalecer o interesse público, além de assegurar a modicidade das tarifas, priorizando o transporte coletivo urbano de passageiros e promover a melhoria da mobilidade das pessoas nos deslocamentos dentro do território municipal.”</w:t>
      </w:r>
    </w:p>
    <w:p>
      <w:pPr>
        <w:pStyle w:val="BodyText"/>
      </w:pPr>
    </w:p>
    <w:p>
      <w:pPr>
        <w:pStyle w:val="BodyText"/>
        <w:spacing w:before="62"/>
      </w:pPr>
    </w:p>
    <w:p>
      <w:pPr>
        <w:pStyle w:val="BodyText"/>
        <w:ind w:right="2898"/>
        <w:jc w:val="center"/>
      </w:pPr>
      <w:r>
        <w:rPr/>
        <w:t>Art.</w:t>
      </w:r>
      <w:r>
        <w:rPr>
          <w:spacing w:val="-6"/>
        </w:rPr>
        <w:t> </w:t>
      </w:r>
      <w:r>
        <w:rPr/>
        <w:t>9º</w:t>
      </w:r>
      <w:r>
        <w:rPr>
          <w:spacing w:val="-3"/>
        </w:rPr>
        <w:t> </w:t>
      </w:r>
      <w:r>
        <w:rPr/>
        <w:t>Inclui</w:t>
      </w:r>
      <w:r>
        <w:rPr>
          <w:spacing w:val="-4"/>
        </w:rPr>
        <w:t> </w:t>
      </w:r>
      <w:r>
        <w:rPr/>
        <w:t>o</w:t>
      </w:r>
      <w:r>
        <w:rPr>
          <w:spacing w:val="-3"/>
        </w:rPr>
        <w:t> </w:t>
      </w:r>
      <w:r>
        <w:rPr/>
        <w:t>art.</w:t>
      </w:r>
      <w:r>
        <w:rPr>
          <w:spacing w:val="-4"/>
        </w:rPr>
        <w:t> </w:t>
      </w:r>
      <w:r>
        <w:rPr/>
        <w:t>44-B</w:t>
      </w:r>
      <w:r>
        <w:rPr>
          <w:spacing w:val="-3"/>
        </w:rPr>
        <w:t> </w:t>
      </w:r>
      <w:r>
        <w:rPr/>
        <w:t>na</w:t>
      </w:r>
      <w:r>
        <w:rPr>
          <w:spacing w:val="-4"/>
        </w:rPr>
        <w:t> </w:t>
      </w:r>
      <w:r>
        <w:rPr/>
        <w:t>Lei</w:t>
      </w:r>
      <w:r>
        <w:rPr>
          <w:spacing w:val="-3"/>
        </w:rPr>
        <w:t> </w:t>
      </w:r>
      <w:r>
        <w:rPr/>
        <w:t>nº</w:t>
      </w:r>
      <w:r>
        <w:rPr>
          <w:spacing w:val="-4"/>
        </w:rPr>
        <w:t> </w:t>
      </w:r>
      <w:r>
        <w:rPr/>
        <w:t>3.141,</w:t>
      </w:r>
      <w:r>
        <w:rPr>
          <w:spacing w:val="-3"/>
        </w:rPr>
        <w:t> </w:t>
      </w:r>
      <w:r>
        <w:rPr/>
        <w:t>de</w:t>
      </w:r>
      <w:r>
        <w:rPr>
          <w:spacing w:val="-4"/>
        </w:rPr>
        <w:t> </w:t>
      </w:r>
      <w:r>
        <w:rPr/>
        <w:t>2013,</w:t>
      </w:r>
      <w:r>
        <w:rPr>
          <w:spacing w:val="-3"/>
        </w:rPr>
        <w:t> </w:t>
      </w:r>
      <w:r>
        <w:rPr/>
        <w:t>com</w:t>
      </w:r>
      <w:r>
        <w:rPr>
          <w:spacing w:val="-4"/>
        </w:rPr>
        <w:t> </w:t>
      </w:r>
      <w:r>
        <w:rPr/>
        <w:t>a</w:t>
      </w:r>
      <w:r>
        <w:rPr>
          <w:spacing w:val="-3"/>
        </w:rPr>
        <w:t> </w:t>
      </w:r>
      <w:r>
        <w:rPr/>
        <w:t>seguinte</w:t>
      </w:r>
      <w:r>
        <w:rPr>
          <w:spacing w:val="-3"/>
        </w:rPr>
        <w:t> </w:t>
      </w:r>
      <w:r>
        <w:rPr>
          <w:spacing w:val="-2"/>
        </w:rPr>
        <w:t>redação:</w:t>
      </w:r>
    </w:p>
    <w:p>
      <w:pPr>
        <w:pStyle w:val="BodyText"/>
      </w:pPr>
    </w:p>
    <w:p>
      <w:pPr>
        <w:pStyle w:val="BodyText"/>
        <w:spacing w:before="90"/>
      </w:pPr>
    </w:p>
    <w:p>
      <w:pPr>
        <w:pStyle w:val="BodyText"/>
        <w:spacing w:line="196" w:lineRule="auto" w:before="1"/>
        <w:ind w:left="2457" w:right="939"/>
        <w:jc w:val="both"/>
      </w:pPr>
      <w:r>
        <w:rPr/>
        <w:t>“Art. 44-B. Observar-se-á, na aplicação de recursos municipais para custeio do serviço de transporte coletivo a proporcionalidade relativa a:</w:t>
      </w:r>
    </w:p>
    <w:p>
      <w:pPr>
        <w:pStyle w:val="ListParagraph"/>
        <w:numPr>
          <w:ilvl w:val="0"/>
          <w:numId w:val="3"/>
        </w:numPr>
        <w:tabs>
          <w:tab w:pos="104" w:val="left" w:leader="none"/>
        </w:tabs>
        <w:spacing w:line="240" w:lineRule="auto" w:before="181" w:after="0"/>
        <w:ind w:left="104" w:right="2935" w:hanging="104"/>
        <w:jc w:val="center"/>
        <w:rPr>
          <w:sz w:val="22"/>
        </w:rPr>
      </w:pPr>
      <w:r>
        <w:rPr>
          <w:sz w:val="22"/>
        </w:rPr>
        <w:t>-</w:t>
      </w:r>
      <w:r>
        <w:rPr>
          <w:spacing w:val="-3"/>
          <w:sz w:val="22"/>
        </w:rPr>
        <w:t> </w:t>
      </w:r>
      <w:r>
        <w:rPr>
          <w:sz w:val="22"/>
        </w:rPr>
        <w:t>número</w:t>
      </w:r>
      <w:r>
        <w:rPr>
          <w:spacing w:val="-3"/>
          <w:sz w:val="22"/>
        </w:rPr>
        <w:t> </w:t>
      </w:r>
      <w:r>
        <w:rPr>
          <w:sz w:val="22"/>
        </w:rPr>
        <w:t>de</w:t>
      </w:r>
      <w:r>
        <w:rPr>
          <w:spacing w:val="-3"/>
          <w:sz w:val="22"/>
        </w:rPr>
        <w:t> </w:t>
      </w:r>
      <w:r>
        <w:rPr>
          <w:spacing w:val="-2"/>
          <w:sz w:val="22"/>
        </w:rPr>
        <w:t>passageiros;</w:t>
      </w:r>
    </w:p>
    <w:p>
      <w:pPr>
        <w:pStyle w:val="ListParagraph"/>
        <w:numPr>
          <w:ilvl w:val="0"/>
          <w:numId w:val="3"/>
        </w:numPr>
        <w:tabs>
          <w:tab w:pos="2615" w:val="left" w:leader="none"/>
        </w:tabs>
        <w:spacing w:line="240" w:lineRule="auto" w:before="172" w:after="0"/>
        <w:ind w:left="2615" w:right="0" w:hanging="158"/>
        <w:jc w:val="both"/>
        <w:rPr>
          <w:sz w:val="22"/>
        </w:rPr>
      </w:pPr>
      <w:r>
        <w:rPr>
          <w:sz w:val="22"/>
        </w:rPr>
        <w:t>–</w:t>
      </w:r>
      <w:r>
        <w:rPr>
          <w:spacing w:val="-3"/>
          <w:sz w:val="22"/>
        </w:rPr>
        <w:t> </w:t>
      </w:r>
      <w:r>
        <w:rPr>
          <w:sz w:val="22"/>
        </w:rPr>
        <w:t>custo</w:t>
      </w:r>
      <w:r>
        <w:rPr>
          <w:spacing w:val="-3"/>
          <w:sz w:val="22"/>
        </w:rPr>
        <w:t> </w:t>
      </w:r>
      <w:r>
        <w:rPr>
          <w:sz w:val="22"/>
        </w:rPr>
        <w:t>do</w:t>
      </w:r>
      <w:r>
        <w:rPr>
          <w:spacing w:val="-2"/>
          <w:sz w:val="22"/>
        </w:rPr>
        <w:t> serviço;</w:t>
      </w:r>
    </w:p>
    <w:p>
      <w:pPr>
        <w:pStyle w:val="ListParagraph"/>
        <w:numPr>
          <w:ilvl w:val="0"/>
          <w:numId w:val="3"/>
        </w:numPr>
        <w:tabs>
          <w:tab w:pos="2670" w:val="left" w:leader="none"/>
        </w:tabs>
        <w:spacing w:line="240" w:lineRule="auto" w:before="171" w:after="0"/>
        <w:ind w:left="2670" w:right="0" w:hanging="213"/>
        <w:jc w:val="both"/>
        <w:rPr>
          <w:sz w:val="22"/>
        </w:rPr>
      </w:pPr>
      <w:r>
        <w:rPr>
          <w:sz w:val="22"/>
        </w:rPr>
        <w:t>-</w:t>
      </w:r>
      <w:r>
        <w:rPr>
          <w:spacing w:val="-7"/>
          <w:sz w:val="22"/>
        </w:rPr>
        <w:t> </w:t>
      </w:r>
      <w:r>
        <w:rPr>
          <w:sz w:val="22"/>
        </w:rPr>
        <w:t>critérios</w:t>
      </w:r>
      <w:r>
        <w:rPr>
          <w:spacing w:val="-5"/>
          <w:sz w:val="22"/>
        </w:rPr>
        <w:t> </w:t>
      </w:r>
      <w:r>
        <w:rPr>
          <w:sz w:val="22"/>
        </w:rPr>
        <w:t>de</w:t>
      </w:r>
      <w:r>
        <w:rPr>
          <w:spacing w:val="-5"/>
          <w:sz w:val="22"/>
        </w:rPr>
        <w:t> </w:t>
      </w:r>
      <w:r>
        <w:rPr>
          <w:sz w:val="22"/>
        </w:rPr>
        <w:t>qualidade</w:t>
      </w:r>
      <w:r>
        <w:rPr>
          <w:spacing w:val="-5"/>
          <w:sz w:val="22"/>
        </w:rPr>
        <w:t> </w:t>
      </w:r>
      <w:r>
        <w:rPr>
          <w:sz w:val="22"/>
        </w:rPr>
        <w:t>previstos</w:t>
      </w:r>
      <w:r>
        <w:rPr>
          <w:spacing w:val="-5"/>
          <w:sz w:val="22"/>
        </w:rPr>
        <w:t> </w:t>
      </w:r>
      <w:r>
        <w:rPr>
          <w:sz w:val="22"/>
        </w:rPr>
        <w:t>nos</w:t>
      </w:r>
      <w:r>
        <w:rPr>
          <w:spacing w:val="-5"/>
          <w:sz w:val="22"/>
        </w:rPr>
        <w:t> </w:t>
      </w:r>
      <w:r>
        <w:rPr>
          <w:sz w:val="22"/>
        </w:rPr>
        <w:t>contratos</w:t>
      </w:r>
      <w:r>
        <w:rPr>
          <w:spacing w:val="-5"/>
          <w:sz w:val="22"/>
        </w:rPr>
        <w:t> </w:t>
      </w:r>
      <w:r>
        <w:rPr>
          <w:sz w:val="22"/>
        </w:rPr>
        <w:t>e</w:t>
      </w:r>
      <w:r>
        <w:rPr>
          <w:spacing w:val="-5"/>
          <w:sz w:val="22"/>
        </w:rPr>
        <w:t> </w:t>
      </w:r>
      <w:r>
        <w:rPr>
          <w:sz w:val="22"/>
        </w:rPr>
        <w:t>na</w:t>
      </w:r>
      <w:r>
        <w:rPr>
          <w:spacing w:val="-4"/>
          <w:sz w:val="22"/>
        </w:rPr>
        <w:t> </w:t>
      </w:r>
      <w:r>
        <w:rPr>
          <w:spacing w:val="-2"/>
          <w:sz w:val="22"/>
        </w:rPr>
        <w:t>legislação.”</w:t>
      </w:r>
    </w:p>
    <w:p>
      <w:pPr>
        <w:pStyle w:val="BodyText"/>
      </w:pPr>
    </w:p>
    <w:p>
      <w:pPr>
        <w:pStyle w:val="BodyText"/>
        <w:spacing w:before="53"/>
      </w:pPr>
    </w:p>
    <w:p>
      <w:pPr>
        <w:pStyle w:val="BodyText"/>
        <w:ind w:left="355"/>
      </w:pPr>
      <w:r>
        <w:rPr/>
        <w:t>Art.</w:t>
      </w:r>
      <w:r>
        <w:rPr>
          <w:spacing w:val="-6"/>
        </w:rPr>
        <w:t> </w:t>
      </w:r>
      <w:r>
        <w:rPr/>
        <w:t>10.</w:t>
      </w:r>
      <w:r>
        <w:rPr>
          <w:spacing w:val="-4"/>
        </w:rPr>
        <w:t> </w:t>
      </w:r>
      <w:r>
        <w:rPr/>
        <w:t>Inclui</w:t>
      </w:r>
      <w:r>
        <w:rPr>
          <w:spacing w:val="-4"/>
        </w:rPr>
        <w:t> </w:t>
      </w:r>
      <w:r>
        <w:rPr/>
        <w:t>os</w:t>
      </w:r>
      <w:r>
        <w:rPr>
          <w:spacing w:val="-3"/>
        </w:rPr>
        <w:t> </w:t>
      </w:r>
      <w:r>
        <w:rPr/>
        <w:t>art.</w:t>
      </w:r>
      <w:r>
        <w:rPr>
          <w:spacing w:val="-4"/>
        </w:rPr>
        <w:t> </w:t>
      </w:r>
      <w:r>
        <w:rPr/>
        <w:t>61-A.</w:t>
      </w:r>
      <w:r>
        <w:rPr>
          <w:spacing w:val="-4"/>
        </w:rPr>
        <w:t> </w:t>
      </w:r>
      <w:r>
        <w:rPr/>
        <w:t>a</w:t>
      </w:r>
      <w:r>
        <w:rPr>
          <w:spacing w:val="-3"/>
        </w:rPr>
        <w:t> </w:t>
      </w:r>
      <w:r>
        <w:rPr/>
        <w:t>61-O.</w:t>
      </w:r>
      <w:r>
        <w:rPr>
          <w:spacing w:val="-4"/>
        </w:rPr>
        <w:t> </w:t>
      </w:r>
      <w:r>
        <w:rPr/>
        <w:t>na</w:t>
      </w:r>
      <w:r>
        <w:rPr>
          <w:spacing w:val="-4"/>
        </w:rPr>
        <w:t> </w:t>
      </w:r>
      <w:r>
        <w:rPr/>
        <w:t>Lei</w:t>
      </w:r>
      <w:r>
        <w:rPr>
          <w:spacing w:val="-4"/>
        </w:rPr>
        <w:t> </w:t>
      </w:r>
      <w:r>
        <w:rPr/>
        <w:t>nº</w:t>
      </w:r>
      <w:r>
        <w:rPr>
          <w:spacing w:val="-3"/>
        </w:rPr>
        <w:t> </w:t>
      </w:r>
      <w:r>
        <w:rPr/>
        <w:t>3.141,</w:t>
      </w:r>
      <w:r>
        <w:rPr>
          <w:spacing w:val="-4"/>
        </w:rPr>
        <w:t> </w:t>
      </w:r>
      <w:r>
        <w:rPr/>
        <w:t>de</w:t>
      </w:r>
      <w:r>
        <w:rPr>
          <w:spacing w:val="-4"/>
        </w:rPr>
        <w:t> </w:t>
      </w:r>
      <w:r>
        <w:rPr/>
        <w:t>2013,</w:t>
      </w:r>
      <w:r>
        <w:rPr>
          <w:spacing w:val="-3"/>
        </w:rPr>
        <w:t> </w:t>
      </w:r>
      <w:r>
        <w:rPr/>
        <w:t>com</w:t>
      </w:r>
      <w:r>
        <w:rPr>
          <w:spacing w:val="-4"/>
        </w:rPr>
        <w:t> </w:t>
      </w:r>
      <w:r>
        <w:rPr/>
        <w:t>as</w:t>
      </w:r>
      <w:r>
        <w:rPr>
          <w:spacing w:val="-4"/>
        </w:rPr>
        <w:t> </w:t>
      </w:r>
      <w:r>
        <w:rPr/>
        <w:t>seguintes</w:t>
      </w:r>
      <w:r>
        <w:rPr>
          <w:spacing w:val="-3"/>
        </w:rPr>
        <w:t> </w:t>
      </w:r>
      <w:r>
        <w:rPr>
          <w:spacing w:val="-2"/>
        </w:rPr>
        <w:t>redações:</w:t>
      </w:r>
    </w:p>
    <w:p>
      <w:pPr>
        <w:pStyle w:val="BodyText"/>
      </w:pPr>
    </w:p>
    <w:p>
      <w:pPr>
        <w:pStyle w:val="BodyText"/>
        <w:spacing w:before="90"/>
      </w:pPr>
    </w:p>
    <w:p>
      <w:pPr>
        <w:pStyle w:val="BodyText"/>
        <w:spacing w:line="196" w:lineRule="auto" w:before="1"/>
        <w:ind w:left="5260" w:right="3695"/>
        <w:jc w:val="center"/>
      </w:pPr>
      <w:r>
        <w:rPr/>
        <w:t>“Capítulo</w:t>
      </w:r>
      <w:r>
        <w:rPr>
          <w:spacing w:val="-13"/>
        </w:rPr>
        <w:t> </w:t>
      </w:r>
      <w:r>
        <w:rPr/>
        <w:t>IV Da Gestão Seção I</w:t>
      </w:r>
    </w:p>
    <w:p>
      <w:pPr>
        <w:pStyle w:val="BodyText"/>
        <w:spacing w:line="230" w:lineRule="exact"/>
        <w:ind w:left="1564"/>
        <w:jc w:val="center"/>
      </w:pPr>
      <w:r>
        <w:rPr/>
        <w:t>Do</w:t>
      </w:r>
      <w:r>
        <w:rPr>
          <w:spacing w:val="-4"/>
        </w:rPr>
        <w:t> </w:t>
      </w:r>
      <w:r>
        <w:rPr/>
        <w:t>Sistema</w:t>
      </w:r>
      <w:r>
        <w:rPr>
          <w:spacing w:val="-4"/>
        </w:rPr>
        <w:t> </w:t>
      </w:r>
      <w:r>
        <w:rPr/>
        <w:t>de</w:t>
      </w:r>
      <w:r>
        <w:rPr>
          <w:spacing w:val="-4"/>
        </w:rPr>
        <w:t> </w:t>
      </w:r>
      <w:r>
        <w:rPr/>
        <w:t>Bilhetagem</w:t>
      </w:r>
      <w:r>
        <w:rPr>
          <w:spacing w:val="-3"/>
        </w:rPr>
        <w:t> </w:t>
      </w:r>
      <w:r>
        <w:rPr>
          <w:spacing w:val="-2"/>
        </w:rPr>
        <w:t>Eletrônica</w:t>
      </w:r>
    </w:p>
    <w:p>
      <w:pPr>
        <w:pStyle w:val="BodyText"/>
      </w:pPr>
    </w:p>
    <w:p>
      <w:pPr>
        <w:pStyle w:val="BodyText"/>
        <w:spacing w:before="90"/>
      </w:pPr>
    </w:p>
    <w:p>
      <w:pPr>
        <w:pStyle w:val="BodyText"/>
        <w:spacing w:line="196" w:lineRule="auto"/>
        <w:ind w:left="2457" w:right="939"/>
        <w:jc w:val="both"/>
      </w:pPr>
      <w:r>
        <w:rPr/>
        <w:t>Art. 61-A. Fica instituído o Sistema de Bilhetagem Eletrônica (SBE) unificado para todo o Sistema Transporte Público Coletivo por Ônibus do Município</w:t>
      </w:r>
      <w:r>
        <w:rPr>
          <w:spacing w:val="40"/>
        </w:rPr>
        <w:t> </w:t>
      </w:r>
      <w:r>
        <w:rPr/>
        <w:t>de Gramado, como instrumento de cobrança da tarifa e de controle da demanda e da oferta.</w:t>
      </w:r>
    </w:p>
    <w:p>
      <w:pPr>
        <w:pStyle w:val="BodyText"/>
        <w:spacing w:line="196" w:lineRule="auto" w:before="219"/>
        <w:ind w:left="2457" w:right="938"/>
        <w:jc w:val="both"/>
      </w:pPr>
      <w:r>
        <w:rPr/>
        <w:t>Art. 61-B. O SBE será constituído por equipamentos de validação de cartões inteligentes, recarregáveis, com créditos de viagem, instalados nos veículos do serviço de transporte público coletivo, e por subsistemas de operação,</w:t>
      </w:r>
      <w:r>
        <w:rPr>
          <w:spacing w:val="40"/>
        </w:rPr>
        <w:t> </w:t>
      </w:r>
      <w:r>
        <w:rPr/>
        <w:t>de coleta e transmissão de dados, de comercialização de cartões e créditos de viagem e de controle de receitas e créditos.</w:t>
      </w:r>
    </w:p>
    <w:p>
      <w:pPr>
        <w:pStyle w:val="BodyText"/>
        <w:spacing w:after="0" w:line="196" w:lineRule="auto"/>
        <w:jc w:val="both"/>
        <w:sectPr>
          <w:pgSz w:w="11910" w:h="16840"/>
          <w:pgMar w:header="390" w:footer="624" w:top="2040" w:bottom="820" w:left="1700" w:right="0"/>
        </w:sectPr>
      </w:pPr>
    </w:p>
    <w:p>
      <w:pPr>
        <w:pStyle w:val="BodyText"/>
        <w:spacing w:before="264"/>
      </w:pPr>
    </w:p>
    <w:p>
      <w:pPr>
        <w:pStyle w:val="BodyText"/>
        <w:spacing w:line="196" w:lineRule="auto"/>
        <w:ind w:left="2457" w:right="940"/>
        <w:jc w:val="both"/>
      </w:pPr>
      <w:r>
        <w:rPr/>
        <w:t>Art. 61-C. A contratação, o aluguel ou o arrendamento mercantil do SBE serão efetuados pela Concessionária.</w:t>
      </w:r>
    </w:p>
    <w:p>
      <w:pPr>
        <w:pStyle w:val="BodyText"/>
        <w:spacing w:line="196" w:lineRule="auto" w:before="220"/>
        <w:ind w:left="2457" w:right="939"/>
        <w:jc w:val="both"/>
      </w:pPr>
      <w:r>
        <w:rPr/>
        <w:t>Parágrafo único. O contrato a ser celebrado entre a Concessionária e a empresa fornecedora do SBE está sujeito à aprovação previa do Órgão Gestor, em seus aspectos técnicos.</w:t>
      </w:r>
    </w:p>
    <w:p>
      <w:pPr>
        <w:pStyle w:val="BodyText"/>
        <w:spacing w:line="196" w:lineRule="auto" w:before="219"/>
        <w:ind w:left="2457" w:right="940"/>
        <w:jc w:val="both"/>
      </w:pPr>
      <w:r>
        <w:rPr/>
        <w:t>Art. 61-D. O SBE deverá, obrigatoriamente, estar de acordo com as especificações técnicas do Órgão Gestor e do Edital de Licitação e Contrato de Concessão em vigor.</w:t>
      </w:r>
    </w:p>
    <w:p>
      <w:pPr>
        <w:pStyle w:val="BodyText"/>
        <w:spacing w:line="196" w:lineRule="auto" w:before="219"/>
        <w:ind w:left="2457" w:right="940"/>
        <w:jc w:val="both"/>
      </w:pPr>
      <w:r>
        <w:rPr/>
        <w:drawing>
          <wp:anchor distT="0" distB="0" distL="0" distR="0" allowOverlap="1" layoutInCell="1" locked="0" behindDoc="0" simplePos="0" relativeHeight="15730688">
            <wp:simplePos x="0" y="0"/>
            <wp:positionH relativeFrom="page">
              <wp:posOffset>7217155</wp:posOffset>
            </wp:positionH>
            <wp:positionV relativeFrom="paragraph">
              <wp:posOffset>496682</wp:posOffset>
            </wp:positionV>
            <wp:extent cx="342900" cy="3616043"/>
            <wp:effectExtent l="0" t="0" r="0" b="0"/>
            <wp:wrapNone/>
            <wp:docPr id="8" name="Image 8"/>
            <wp:cNvGraphicFramePr>
              <a:graphicFrameLocks/>
            </wp:cNvGraphicFramePr>
            <a:graphic>
              <a:graphicData uri="http://schemas.openxmlformats.org/drawingml/2006/picture">
                <pic:pic>
                  <pic:nvPicPr>
                    <pic:cNvPr id="8" name="Image 8"/>
                    <pic:cNvPicPr/>
                  </pic:nvPicPr>
                  <pic:blipFill>
                    <a:blip r:embed="rId7" cstate="print"/>
                    <a:stretch>
                      <a:fillRect/>
                    </a:stretch>
                  </pic:blipFill>
                  <pic:spPr>
                    <a:xfrm>
                      <a:off x="0" y="0"/>
                      <a:ext cx="342900" cy="3616043"/>
                    </a:xfrm>
                    <a:prstGeom prst="rect">
                      <a:avLst/>
                    </a:prstGeom>
                  </pic:spPr>
                </pic:pic>
              </a:graphicData>
            </a:graphic>
          </wp:anchor>
        </w:drawing>
      </w:r>
      <w:r>
        <w:rPr/>
        <w:t>Art. 61-E. Cada operação de validação de crédito de viagem ou liberação da roleta deverá ser armazenada no validador e coletada automaticamente através de transmissão para servidor instalado na garagem da empresa concessionária ou em plataforma online ao qual será fornecido amplo e irrestrito acesso ao Órgão Gestor de forma independente e originária.</w:t>
      </w:r>
    </w:p>
    <w:p>
      <w:pPr>
        <w:pStyle w:val="BodyText"/>
        <w:spacing w:line="196" w:lineRule="auto" w:before="219"/>
        <w:ind w:left="2457" w:right="921"/>
        <w:jc w:val="both"/>
      </w:pPr>
      <w:r>
        <w:rPr/>
        <w:t>Art. 61-F. Os créditos eletrônicos adquiridos pelos USUÁRIOS e/ou os</w:t>
      </w:r>
      <w:r>
        <w:rPr>
          <w:spacing w:val="40"/>
        </w:rPr>
        <w:t> </w:t>
      </w:r>
      <w:r>
        <w:rPr/>
        <w:t>demais direitos de viagem concedidos na forma de beneİcio de gratuidade serão</w:t>
      </w:r>
      <w:r>
        <w:rPr>
          <w:spacing w:val="-5"/>
        </w:rPr>
        <w:t> </w:t>
      </w:r>
      <w:r>
        <w:rPr/>
        <w:t>inseridos</w:t>
      </w:r>
      <w:r>
        <w:rPr>
          <w:spacing w:val="-5"/>
        </w:rPr>
        <w:t> </w:t>
      </w:r>
      <w:r>
        <w:rPr/>
        <w:t>em</w:t>
      </w:r>
      <w:r>
        <w:rPr>
          <w:spacing w:val="-5"/>
        </w:rPr>
        <w:t> </w:t>
      </w:r>
      <w:r>
        <w:rPr/>
        <w:t>cartões</w:t>
      </w:r>
      <w:r>
        <w:rPr>
          <w:spacing w:val="-5"/>
        </w:rPr>
        <w:t> </w:t>
      </w:r>
      <w:r>
        <w:rPr/>
        <w:t>eletrônicos</w:t>
      </w:r>
      <w:r>
        <w:rPr>
          <w:spacing w:val="-5"/>
        </w:rPr>
        <w:t> </w:t>
      </w:r>
      <w:r>
        <w:rPr/>
        <w:t>distribuídos</w:t>
      </w:r>
      <w:r>
        <w:rPr>
          <w:spacing w:val="-5"/>
        </w:rPr>
        <w:t> </w:t>
      </w:r>
      <w:r>
        <w:rPr/>
        <w:t>nas</w:t>
      </w:r>
      <w:r>
        <w:rPr>
          <w:spacing w:val="-5"/>
        </w:rPr>
        <w:t> </w:t>
      </w:r>
      <w:r>
        <w:rPr/>
        <w:t>seguintes</w:t>
      </w:r>
      <w:r>
        <w:rPr>
          <w:spacing w:val="-5"/>
        </w:rPr>
        <w:t> </w:t>
      </w:r>
      <w:r>
        <w:rPr/>
        <w:t>categorias:</w:t>
      </w:r>
    </w:p>
    <w:p>
      <w:pPr>
        <w:pStyle w:val="ListParagraph"/>
        <w:numPr>
          <w:ilvl w:val="0"/>
          <w:numId w:val="4"/>
        </w:numPr>
        <w:tabs>
          <w:tab w:pos="2594" w:val="left" w:leader="none"/>
        </w:tabs>
        <w:spacing w:line="196" w:lineRule="auto" w:before="220" w:after="0"/>
        <w:ind w:left="2457" w:right="941" w:firstLine="0"/>
        <w:jc w:val="both"/>
        <w:rPr>
          <w:sz w:val="22"/>
        </w:rPr>
      </w:pPr>
      <w:r>
        <w:rPr>
          <w:sz w:val="22"/>
        </w:rPr>
        <w:t>- Cartão Vale-transporte: cartões a serem adquiridos por empregador e fornecidos aos beneficiários do vale-transporte;</w:t>
      </w:r>
    </w:p>
    <w:p>
      <w:pPr>
        <w:pStyle w:val="ListParagraph"/>
        <w:numPr>
          <w:ilvl w:val="0"/>
          <w:numId w:val="4"/>
        </w:numPr>
        <w:tabs>
          <w:tab w:pos="2622" w:val="left" w:leader="none"/>
        </w:tabs>
        <w:spacing w:line="196" w:lineRule="auto" w:before="219" w:after="0"/>
        <w:ind w:left="2457" w:right="941" w:firstLine="0"/>
        <w:jc w:val="both"/>
        <w:rPr>
          <w:sz w:val="22"/>
        </w:rPr>
      </w:pPr>
      <w:r>
        <w:rPr>
          <w:sz w:val="22"/>
        </w:rPr>
        <w:t>– Cartão Usuário: cartão que poderá ser adquirido por qualquer USUÁRIO dos SERVIÇOS;</w:t>
      </w:r>
    </w:p>
    <w:p>
      <w:pPr>
        <w:pStyle w:val="ListParagraph"/>
        <w:numPr>
          <w:ilvl w:val="0"/>
          <w:numId w:val="4"/>
        </w:numPr>
        <w:tabs>
          <w:tab w:pos="2709" w:val="left" w:leader="none"/>
        </w:tabs>
        <w:spacing w:line="196" w:lineRule="auto" w:before="220" w:after="0"/>
        <w:ind w:left="2457" w:right="940" w:firstLine="0"/>
        <w:jc w:val="both"/>
        <w:rPr>
          <w:sz w:val="22"/>
        </w:rPr>
      </w:pPr>
      <w:r>
        <w:rPr>
          <w:sz w:val="22"/>
        </w:rPr>
        <w:t>– Cartão Beneİcio: cartões, gratuitos ou não, a serem utilizados pelos USUÁRIOS que possuam tratamento diferenciado quanto à forma de pagamento das tarifas ou quanto ao procedimento de embarque e desembarque nos veículos, a abranger:</w:t>
      </w:r>
    </w:p>
    <w:p>
      <w:pPr>
        <w:pStyle w:val="ListParagraph"/>
        <w:numPr>
          <w:ilvl w:val="1"/>
          <w:numId w:val="4"/>
        </w:numPr>
        <w:tabs>
          <w:tab w:pos="2790" w:val="left" w:leader="none"/>
        </w:tabs>
        <w:spacing w:line="196" w:lineRule="auto" w:before="219" w:after="0"/>
        <w:ind w:left="2457" w:right="940" w:firstLine="0"/>
        <w:jc w:val="both"/>
        <w:rPr>
          <w:sz w:val="22"/>
        </w:rPr>
      </w:pPr>
      <w:r>
        <w:rPr>
          <w:sz w:val="22"/>
        </w:rPr>
        <w:t>Cartão Operador de Transporte: destinado aos empregados das CONCESSIONÁRIAS e das empresas de transporte público coletivo metropolitano, beneficiários de gratuidade em razão de solicitação das próprias CONCESSIONÁRIAS;</w:t>
      </w:r>
    </w:p>
    <w:p>
      <w:pPr>
        <w:pStyle w:val="ListParagraph"/>
        <w:numPr>
          <w:ilvl w:val="1"/>
          <w:numId w:val="4"/>
        </w:numPr>
        <w:tabs>
          <w:tab w:pos="2693" w:val="left" w:leader="none"/>
        </w:tabs>
        <w:spacing w:line="196" w:lineRule="auto" w:before="219" w:after="0"/>
        <w:ind w:left="2457" w:right="939" w:firstLine="0"/>
        <w:jc w:val="both"/>
        <w:rPr>
          <w:sz w:val="22"/>
        </w:rPr>
      </w:pPr>
      <w:r>
        <w:rPr>
          <w:sz w:val="22"/>
        </w:rPr>
        <w:t>Cartão Master: destinado ao USUÁRIO com mais de 65 (sessenta e cinco) anos,</w:t>
      </w:r>
      <w:r>
        <w:rPr>
          <w:spacing w:val="-2"/>
          <w:sz w:val="22"/>
        </w:rPr>
        <w:t> </w:t>
      </w:r>
      <w:r>
        <w:rPr>
          <w:sz w:val="22"/>
        </w:rPr>
        <w:t>beneficiário</w:t>
      </w:r>
      <w:r>
        <w:rPr>
          <w:spacing w:val="-3"/>
          <w:sz w:val="22"/>
        </w:rPr>
        <w:t> </w:t>
      </w:r>
      <w:r>
        <w:rPr>
          <w:sz w:val="22"/>
        </w:rPr>
        <w:t>de</w:t>
      </w:r>
      <w:r>
        <w:rPr>
          <w:spacing w:val="-3"/>
          <w:sz w:val="22"/>
        </w:rPr>
        <w:t> </w:t>
      </w:r>
      <w:r>
        <w:rPr>
          <w:sz w:val="22"/>
        </w:rPr>
        <w:t>gratuidade</w:t>
      </w:r>
      <w:r>
        <w:rPr>
          <w:spacing w:val="-3"/>
          <w:sz w:val="22"/>
        </w:rPr>
        <w:t> </w:t>
      </w:r>
      <w:r>
        <w:rPr>
          <w:sz w:val="22"/>
        </w:rPr>
        <w:t>nos</w:t>
      </w:r>
      <w:r>
        <w:rPr>
          <w:spacing w:val="-3"/>
          <w:sz w:val="22"/>
        </w:rPr>
        <w:t> </w:t>
      </w:r>
      <w:r>
        <w:rPr>
          <w:sz w:val="22"/>
        </w:rPr>
        <w:t>termos</w:t>
      </w:r>
      <w:r>
        <w:rPr>
          <w:spacing w:val="-3"/>
          <w:sz w:val="22"/>
        </w:rPr>
        <w:t> </w:t>
      </w:r>
      <w:r>
        <w:rPr>
          <w:sz w:val="22"/>
        </w:rPr>
        <w:t>da</w:t>
      </w:r>
      <w:r>
        <w:rPr>
          <w:spacing w:val="-3"/>
          <w:sz w:val="22"/>
        </w:rPr>
        <w:t> </w:t>
      </w:r>
      <w:r>
        <w:rPr>
          <w:sz w:val="22"/>
        </w:rPr>
        <w:t>legislação</w:t>
      </w:r>
      <w:r>
        <w:rPr>
          <w:spacing w:val="-3"/>
          <w:sz w:val="22"/>
        </w:rPr>
        <w:t> </w:t>
      </w:r>
      <w:r>
        <w:rPr>
          <w:sz w:val="22"/>
        </w:rPr>
        <w:t>e</w:t>
      </w:r>
      <w:r>
        <w:rPr>
          <w:spacing w:val="-3"/>
          <w:sz w:val="22"/>
        </w:rPr>
        <w:t> </w:t>
      </w:r>
      <w:r>
        <w:rPr>
          <w:sz w:val="22"/>
        </w:rPr>
        <w:t>regulamentação </w:t>
      </w:r>
      <w:r>
        <w:rPr>
          <w:spacing w:val="-2"/>
          <w:sz w:val="22"/>
        </w:rPr>
        <w:t>vigentes.</w:t>
      </w:r>
    </w:p>
    <w:p>
      <w:pPr>
        <w:pStyle w:val="ListParagraph"/>
        <w:numPr>
          <w:ilvl w:val="1"/>
          <w:numId w:val="4"/>
        </w:numPr>
        <w:tabs>
          <w:tab w:pos="2664" w:val="left" w:leader="none"/>
        </w:tabs>
        <w:spacing w:line="240" w:lineRule="auto" w:before="182" w:after="0"/>
        <w:ind w:left="2664" w:right="0" w:hanging="207"/>
        <w:jc w:val="both"/>
        <w:rPr>
          <w:sz w:val="22"/>
        </w:rPr>
      </w:pPr>
      <w:r>
        <w:rPr>
          <w:sz w:val="22"/>
        </w:rPr>
        <w:t>Outros</w:t>
      </w:r>
      <w:r>
        <w:rPr>
          <w:spacing w:val="-9"/>
          <w:sz w:val="22"/>
        </w:rPr>
        <w:t> </w:t>
      </w:r>
      <w:r>
        <w:rPr>
          <w:sz w:val="22"/>
        </w:rPr>
        <w:t>cartões:</w:t>
      </w:r>
      <w:r>
        <w:rPr>
          <w:spacing w:val="-7"/>
          <w:sz w:val="22"/>
        </w:rPr>
        <w:t> </w:t>
      </w:r>
      <w:r>
        <w:rPr>
          <w:sz w:val="22"/>
        </w:rPr>
        <w:t>destinados</w:t>
      </w:r>
      <w:r>
        <w:rPr>
          <w:spacing w:val="-7"/>
          <w:sz w:val="22"/>
        </w:rPr>
        <w:t> </w:t>
      </w:r>
      <w:r>
        <w:rPr>
          <w:sz w:val="22"/>
        </w:rPr>
        <w:t>aos</w:t>
      </w:r>
      <w:r>
        <w:rPr>
          <w:spacing w:val="-7"/>
          <w:sz w:val="22"/>
        </w:rPr>
        <w:t> </w:t>
      </w:r>
      <w:r>
        <w:rPr>
          <w:sz w:val="22"/>
        </w:rPr>
        <w:t>demais</w:t>
      </w:r>
      <w:r>
        <w:rPr>
          <w:spacing w:val="-7"/>
          <w:sz w:val="22"/>
        </w:rPr>
        <w:t> </w:t>
      </w:r>
      <w:r>
        <w:rPr>
          <w:sz w:val="22"/>
        </w:rPr>
        <w:t>beneficiários</w:t>
      </w:r>
      <w:r>
        <w:rPr>
          <w:spacing w:val="-7"/>
          <w:sz w:val="22"/>
        </w:rPr>
        <w:t> </w:t>
      </w:r>
      <w:r>
        <w:rPr>
          <w:sz w:val="22"/>
        </w:rPr>
        <w:t>de</w:t>
      </w:r>
      <w:r>
        <w:rPr>
          <w:spacing w:val="-6"/>
          <w:sz w:val="22"/>
        </w:rPr>
        <w:t> </w:t>
      </w:r>
      <w:r>
        <w:rPr>
          <w:spacing w:val="-2"/>
          <w:sz w:val="22"/>
        </w:rPr>
        <w:t>gratuidades.</w:t>
      </w:r>
    </w:p>
    <w:p>
      <w:pPr>
        <w:pStyle w:val="BodyText"/>
        <w:spacing w:line="196" w:lineRule="auto" w:before="209"/>
        <w:ind w:left="2457" w:right="939"/>
        <w:jc w:val="both"/>
      </w:pPr>
      <w:r>
        <w:rPr/>
        <w:t>Parágrafo Único. No cadastro do Cartão Beneİcio constará a categoria de </w:t>
      </w:r>
      <w:r>
        <w:rPr>
          <w:spacing w:val="-2"/>
        </w:rPr>
        <w:t>beneİcio.</w:t>
      </w:r>
    </w:p>
    <w:p>
      <w:pPr>
        <w:pStyle w:val="BodyText"/>
        <w:spacing w:before="182"/>
        <w:ind w:left="2457"/>
        <w:jc w:val="both"/>
      </w:pPr>
      <w:r>
        <w:rPr/>
        <w:t>Art.</w:t>
      </w:r>
      <w:r>
        <w:rPr>
          <w:spacing w:val="-6"/>
        </w:rPr>
        <w:t> </w:t>
      </w:r>
      <w:r>
        <w:rPr/>
        <w:t>61-G.</w:t>
      </w:r>
      <w:r>
        <w:rPr>
          <w:spacing w:val="-5"/>
        </w:rPr>
        <w:t> </w:t>
      </w:r>
      <w:r>
        <w:rPr/>
        <w:t>A</w:t>
      </w:r>
      <w:r>
        <w:rPr>
          <w:spacing w:val="-5"/>
        </w:rPr>
        <w:t> </w:t>
      </w:r>
      <w:r>
        <w:rPr/>
        <w:t>geração</w:t>
      </w:r>
      <w:r>
        <w:rPr>
          <w:spacing w:val="-5"/>
        </w:rPr>
        <w:t> </w:t>
      </w:r>
      <w:r>
        <w:rPr/>
        <w:t>dos</w:t>
      </w:r>
      <w:r>
        <w:rPr>
          <w:spacing w:val="-5"/>
        </w:rPr>
        <w:t> </w:t>
      </w:r>
      <w:r>
        <w:rPr/>
        <w:t>créditos</w:t>
      </w:r>
      <w:r>
        <w:rPr>
          <w:spacing w:val="-5"/>
        </w:rPr>
        <w:t> </w:t>
      </w:r>
      <w:r>
        <w:rPr/>
        <w:t>eletrônicos</w:t>
      </w:r>
      <w:r>
        <w:rPr>
          <w:spacing w:val="-5"/>
        </w:rPr>
        <w:t> </w:t>
      </w:r>
      <w:r>
        <w:rPr/>
        <w:t>observará</w:t>
      </w:r>
      <w:r>
        <w:rPr>
          <w:spacing w:val="-5"/>
        </w:rPr>
        <w:t> </w:t>
      </w:r>
      <w:r>
        <w:rPr/>
        <w:t>as</w:t>
      </w:r>
      <w:r>
        <w:rPr>
          <w:spacing w:val="-5"/>
        </w:rPr>
        <w:t> </w:t>
      </w:r>
      <w:r>
        <w:rPr/>
        <w:t>seguintes</w:t>
      </w:r>
      <w:r>
        <w:rPr>
          <w:spacing w:val="-5"/>
        </w:rPr>
        <w:t> </w:t>
      </w:r>
      <w:r>
        <w:rPr>
          <w:spacing w:val="-2"/>
        </w:rPr>
        <w:t>regras:</w:t>
      </w:r>
    </w:p>
    <w:p>
      <w:pPr>
        <w:pStyle w:val="ListParagraph"/>
        <w:numPr>
          <w:ilvl w:val="2"/>
          <w:numId w:val="4"/>
        </w:numPr>
        <w:tabs>
          <w:tab w:pos="2607" w:val="left" w:leader="none"/>
        </w:tabs>
        <w:spacing w:line="196" w:lineRule="auto" w:before="209" w:after="0"/>
        <w:ind w:left="2457" w:right="939" w:firstLine="0"/>
        <w:jc w:val="both"/>
        <w:rPr>
          <w:sz w:val="22"/>
        </w:rPr>
      </w:pPr>
      <w:r>
        <w:rPr>
          <w:sz w:val="22"/>
        </w:rPr>
        <w:t>- os lotes de créditos eletrônicos na modalidade vale-transporte terão validade de 180 (cento e oitenta) dias contados a partir de sua venda ao </w:t>
      </w:r>
      <w:r>
        <w:rPr>
          <w:spacing w:val="-2"/>
          <w:sz w:val="22"/>
        </w:rPr>
        <w:t>USUÁRIO;</w:t>
      </w:r>
    </w:p>
    <w:p>
      <w:pPr>
        <w:pStyle w:val="ListParagraph"/>
        <w:numPr>
          <w:ilvl w:val="2"/>
          <w:numId w:val="4"/>
        </w:numPr>
        <w:tabs>
          <w:tab w:pos="2616" w:val="left" w:leader="none"/>
        </w:tabs>
        <w:spacing w:line="196" w:lineRule="auto" w:before="219" w:after="0"/>
        <w:ind w:left="2457" w:right="938" w:firstLine="0"/>
        <w:jc w:val="both"/>
        <w:rPr>
          <w:sz w:val="22"/>
        </w:rPr>
      </w:pPr>
      <w:r>
        <w:rPr>
          <w:sz w:val="22"/>
        </w:rPr>
        <w:t>-</w:t>
      </w:r>
      <w:r>
        <w:rPr>
          <w:spacing w:val="-2"/>
          <w:sz w:val="22"/>
        </w:rPr>
        <w:t> </w:t>
      </w:r>
      <w:r>
        <w:rPr>
          <w:sz w:val="22"/>
        </w:rPr>
        <w:t>os</w:t>
      </w:r>
      <w:r>
        <w:rPr>
          <w:spacing w:val="-2"/>
          <w:sz w:val="22"/>
        </w:rPr>
        <w:t> </w:t>
      </w:r>
      <w:r>
        <w:rPr>
          <w:sz w:val="22"/>
        </w:rPr>
        <w:t>lotes</w:t>
      </w:r>
      <w:r>
        <w:rPr>
          <w:spacing w:val="-2"/>
          <w:sz w:val="22"/>
        </w:rPr>
        <w:t> </w:t>
      </w:r>
      <w:r>
        <w:rPr>
          <w:sz w:val="22"/>
        </w:rPr>
        <w:t>dos</w:t>
      </w:r>
      <w:r>
        <w:rPr>
          <w:spacing w:val="-2"/>
          <w:sz w:val="22"/>
        </w:rPr>
        <w:t> </w:t>
      </w:r>
      <w:r>
        <w:rPr>
          <w:sz w:val="22"/>
        </w:rPr>
        <w:t>demais</w:t>
      </w:r>
      <w:r>
        <w:rPr>
          <w:spacing w:val="-2"/>
          <w:sz w:val="22"/>
        </w:rPr>
        <w:t> </w:t>
      </w:r>
      <w:r>
        <w:rPr>
          <w:sz w:val="22"/>
        </w:rPr>
        <w:t>créditos</w:t>
      </w:r>
      <w:r>
        <w:rPr>
          <w:spacing w:val="-2"/>
          <w:sz w:val="22"/>
        </w:rPr>
        <w:t> </w:t>
      </w:r>
      <w:r>
        <w:rPr>
          <w:sz w:val="22"/>
        </w:rPr>
        <w:t>eletrônicos</w:t>
      </w:r>
      <w:r>
        <w:rPr>
          <w:spacing w:val="-2"/>
          <w:sz w:val="22"/>
        </w:rPr>
        <w:t> </w:t>
      </w:r>
      <w:r>
        <w:rPr>
          <w:sz w:val="22"/>
        </w:rPr>
        <w:t>terão</w:t>
      </w:r>
      <w:r>
        <w:rPr>
          <w:spacing w:val="-2"/>
          <w:sz w:val="22"/>
        </w:rPr>
        <w:t> </w:t>
      </w:r>
      <w:r>
        <w:rPr>
          <w:sz w:val="22"/>
        </w:rPr>
        <w:t>validade</w:t>
      </w:r>
      <w:r>
        <w:rPr>
          <w:spacing w:val="-2"/>
          <w:sz w:val="22"/>
        </w:rPr>
        <w:t> </w:t>
      </w:r>
      <w:r>
        <w:rPr>
          <w:sz w:val="22"/>
        </w:rPr>
        <w:t>de</w:t>
      </w:r>
      <w:r>
        <w:rPr>
          <w:spacing w:val="-2"/>
          <w:sz w:val="22"/>
        </w:rPr>
        <w:t> </w:t>
      </w:r>
      <w:r>
        <w:rPr>
          <w:sz w:val="22"/>
        </w:rPr>
        <w:t>365</w:t>
      </w:r>
      <w:r>
        <w:rPr>
          <w:spacing w:val="-3"/>
          <w:sz w:val="22"/>
        </w:rPr>
        <w:t> </w:t>
      </w:r>
      <w:r>
        <w:rPr>
          <w:sz w:val="22"/>
        </w:rPr>
        <w:t>(trezentos e sessenta e cinco) dias contados a partir de sua venda ao USUÁRIO;</w:t>
      </w:r>
    </w:p>
    <w:p>
      <w:pPr>
        <w:pStyle w:val="BodyText"/>
      </w:pPr>
    </w:p>
    <w:p>
      <w:pPr>
        <w:pStyle w:val="BodyText"/>
        <w:spacing w:before="63"/>
      </w:pPr>
    </w:p>
    <w:p>
      <w:pPr>
        <w:pStyle w:val="BodyText"/>
        <w:spacing w:line="244" w:lineRule="exact" w:before="1"/>
        <w:ind w:left="1563"/>
        <w:jc w:val="center"/>
      </w:pPr>
      <w:r>
        <w:rPr/>
        <w:t>Seção</w:t>
      </w:r>
      <w:r>
        <w:rPr>
          <w:spacing w:val="-5"/>
        </w:rPr>
        <w:t> II</w:t>
      </w:r>
    </w:p>
    <w:p>
      <w:pPr>
        <w:pStyle w:val="BodyText"/>
        <w:spacing w:line="244" w:lineRule="exact"/>
        <w:ind w:left="1563"/>
        <w:jc w:val="center"/>
      </w:pPr>
      <w:r>
        <w:rPr/>
        <w:t>Dos</w:t>
      </w:r>
      <w:r>
        <w:rPr>
          <w:spacing w:val="-6"/>
        </w:rPr>
        <w:t> </w:t>
      </w:r>
      <w:r>
        <w:rPr/>
        <w:t>Sistemas</w:t>
      </w:r>
      <w:r>
        <w:rPr>
          <w:spacing w:val="-4"/>
        </w:rPr>
        <w:t> </w:t>
      </w:r>
      <w:r>
        <w:rPr/>
        <w:t>de</w:t>
      </w:r>
      <w:r>
        <w:rPr>
          <w:spacing w:val="-4"/>
        </w:rPr>
        <w:t> </w:t>
      </w:r>
      <w:r>
        <w:rPr/>
        <w:t>Controle</w:t>
      </w:r>
      <w:r>
        <w:rPr>
          <w:spacing w:val="-4"/>
        </w:rPr>
        <w:t> </w:t>
      </w:r>
      <w:r>
        <w:rPr/>
        <w:t>e</w:t>
      </w:r>
      <w:r>
        <w:rPr>
          <w:spacing w:val="-4"/>
        </w:rPr>
        <w:t> </w:t>
      </w:r>
      <w:r>
        <w:rPr/>
        <w:t>de</w:t>
      </w:r>
      <w:r>
        <w:rPr>
          <w:spacing w:val="-4"/>
        </w:rPr>
        <w:t> </w:t>
      </w:r>
      <w:r>
        <w:rPr>
          <w:spacing w:val="-2"/>
        </w:rPr>
        <w:t>Gestão</w:t>
      </w:r>
    </w:p>
    <w:p>
      <w:pPr>
        <w:pStyle w:val="BodyText"/>
        <w:spacing w:after="0" w:line="244" w:lineRule="exact"/>
        <w:jc w:val="center"/>
        <w:sectPr>
          <w:pgSz w:w="11910" w:h="16840"/>
          <w:pgMar w:header="390" w:footer="624" w:top="2040" w:bottom="820" w:left="1700" w:right="0"/>
        </w:sectPr>
      </w:pPr>
    </w:p>
    <w:p>
      <w:pPr>
        <w:pStyle w:val="BodyText"/>
        <w:spacing w:before="264"/>
      </w:pPr>
    </w:p>
    <w:p>
      <w:pPr>
        <w:pStyle w:val="BodyText"/>
        <w:spacing w:line="196" w:lineRule="auto"/>
        <w:ind w:left="2457" w:right="938"/>
        <w:jc w:val="both"/>
      </w:pPr>
      <w:r>
        <w:rPr/>
        <w:t>Art. 61-H. A Concessionária deverá desenvolver um Sistema de Controle Operacional e disponibilizá-lo para uso simultâneo de módulos específicos do Órgão Gestor, de forma a possibilitar a verificação do cumprimento de especificações operacionais ou técnicas, e para usuários, que poderão acessar informações sobre horários e itinerários mais adequados aos locais de interesse, observados requisitos e prazos constantes no Edital, na proposta Técnica da Empresa, no Contrato e neste regulamento.</w:t>
      </w:r>
    </w:p>
    <w:p>
      <w:pPr>
        <w:pStyle w:val="BodyText"/>
        <w:spacing w:line="196" w:lineRule="auto" w:before="219"/>
        <w:ind w:left="2457" w:right="938"/>
        <w:jc w:val="both"/>
      </w:pPr>
      <w:r>
        <w:rPr/>
        <w:drawing>
          <wp:anchor distT="0" distB="0" distL="0" distR="0" allowOverlap="1" layoutInCell="1" locked="0" behindDoc="0" simplePos="0" relativeHeight="15731200">
            <wp:simplePos x="0" y="0"/>
            <wp:positionH relativeFrom="page">
              <wp:posOffset>7217155</wp:posOffset>
            </wp:positionH>
            <wp:positionV relativeFrom="paragraph">
              <wp:posOffset>915284</wp:posOffset>
            </wp:positionV>
            <wp:extent cx="342900" cy="3616043"/>
            <wp:effectExtent l="0" t="0" r="0" b="0"/>
            <wp:wrapNone/>
            <wp:docPr id="9" name="Image 9"/>
            <wp:cNvGraphicFramePr>
              <a:graphicFrameLocks/>
            </wp:cNvGraphicFramePr>
            <a:graphic>
              <a:graphicData uri="http://schemas.openxmlformats.org/drawingml/2006/picture">
                <pic:pic>
                  <pic:nvPicPr>
                    <pic:cNvPr id="9" name="Image 9"/>
                    <pic:cNvPicPr/>
                  </pic:nvPicPr>
                  <pic:blipFill>
                    <a:blip r:embed="rId7" cstate="print"/>
                    <a:stretch>
                      <a:fillRect/>
                    </a:stretch>
                  </pic:blipFill>
                  <pic:spPr>
                    <a:xfrm>
                      <a:off x="0" y="0"/>
                      <a:ext cx="342900" cy="3616043"/>
                    </a:xfrm>
                    <a:prstGeom prst="rect">
                      <a:avLst/>
                    </a:prstGeom>
                  </pic:spPr>
                </pic:pic>
              </a:graphicData>
            </a:graphic>
          </wp:anchor>
        </w:drawing>
      </w:r>
      <w:r>
        <w:rPr/>
        <w:t>Art. 61-I. O acesso e disponibilidade dos dados operacionais da Concessionária, assim como a possibilidade de intervenção, deverão ser permanentes e abertas ao Órgão Gestor, que poderá fazer novos levantamentos e pesquisas por iniciativa própria, para auditoria dos levantamentos e pesquisas realizadas pela Concessionária e para coleta de novas informações.</w:t>
      </w:r>
    </w:p>
    <w:p>
      <w:pPr>
        <w:pStyle w:val="BodyText"/>
        <w:spacing w:line="196" w:lineRule="auto" w:before="218"/>
        <w:ind w:left="2457" w:right="939"/>
        <w:jc w:val="both"/>
      </w:pPr>
      <w:r>
        <w:rPr/>
        <w:t>Art. 61-J. A Concessionária deverá informar ao Órgão Gestor, no caso de detecção de aspectos negativos na execução dos serviços, as providências efetivadas para sanar os problemas apontados e, se for o caso, submeter à aprovação as alterações de especificação do serviço que visem o atendimento de questões levantadas pelos usuários.</w:t>
      </w:r>
    </w:p>
    <w:p>
      <w:pPr>
        <w:pStyle w:val="BodyText"/>
        <w:spacing w:line="196" w:lineRule="auto" w:before="219"/>
        <w:ind w:left="2457" w:right="940"/>
        <w:jc w:val="both"/>
      </w:pPr>
      <w:r>
        <w:rPr/>
        <w:t>Art. 61-K. O Órgão Gestor disporá de um prazo máximo de 60 (sessenta)</w:t>
      </w:r>
      <w:r>
        <w:rPr>
          <w:spacing w:val="40"/>
        </w:rPr>
        <w:t> </w:t>
      </w:r>
      <w:r>
        <w:rPr/>
        <w:t>dias corridos, contados a partir da data de apresentação das alterações propostas, para analisá-las e opor qualquer objeção às mesmas.</w:t>
      </w:r>
    </w:p>
    <w:p>
      <w:pPr>
        <w:pStyle w:val="BodyText"/>
        <w:spacing w:line="196" w:lineRule="auto" w:before="220"/>
        <w:ind w:left="2457" w:right="939"/>
        <w:jc w:val="both"/>
      </w:pPr>
      <w:r>
        <w:rPr/>
        <w:t>Parágrafo único. Não havendo manifestação no prazo de 60 (sessenta) dias, as alterações serão consideradas aprovadas e emitida a Ordem de Serviço </w:t>
      </w:r>
      <w:r>
        <w:rPr>
          <w:spacing w:val="-2"/>
        </w:rPr>
        <w:t>correspondente.</w:t>
      </w:r>
    </w:p>
    <w:p>
      <w:pPr>
        <w:pStyle w:val="BodyText"/>
      </w:pPr>
    </w:p>
    <w:p>
      <w:pPr>
        <w:pStyle w:val="BodyText"/>
        <w:spacing w:before="62"/>
      </w:pPr>
    </w:p>
    <w:p>
      <w:pPr>
        <w:pStyle w:val="BodyText"/>
        <w:spacing w:line="244" w:lineRule="exact" w:before="1"/>
        <w:ind w:left="1563"/>
        <w:jc w:val="center"/>
      </w:pPr>
      <w:r>
        <w:rPr/>
        <w:t>Seção</w:t>
      </w:r>
      <w:r>
        <w:rPr>
          <w:spacing w:val="-5"/>
        </w:rPr>
        <w:t> III</w:t>
      </w:r>
    </w:p>
    <w:p>
      <w:pPr>
        <w:pStyle w:val="BodyText"/>
        <w:spacing w:line="244" w:lineRule="exact"/>
        <w:ind w:left="1564"/>
        <w:jc w:val="center"/>
      </w:pPr>
      <w:r>
        <w:rPr/>
        <w:t>Do</w:t>
      </w:r>
      <w:r>
        <w:rPr>
          <w:spacing w:val="-4"/>
        </w:rPr>
        <w:t> </w:t>
      </w:r>
      <w:r>
        <w:rPr/>
        <w:t>Sistema</w:t>
      </w:r>
      <w:r>
        <w:rPr>
          <w:spacing w:val="-3"/>
        </w:rPr>
        <w:t> </w:t>
      </w:r>
      <w:r>
        <w:rPr/>
        <w:t>de</w:t>
      </w:r>
      <w:r>
        <w:rPr>
          <w:spacing w:val="-3"/>
        </w:rPr>
        <w:t> </w:t>
      </w:r>
      <w:r>
        <w:rPr/>
        <w:t>Avaliação</w:t>
      </w:r>
      <w:r>
        <w:rPr>
          <w:spacing w:val="-3"/>
        </w:rPr>
        <w:t> </w:t>
      </w:r>
      <w:r>
        <w:rPr/>
        <w:t>de</w:t>
      </w:r>
      <w:r>
        <w:rPr>
          <w:spacing w:val="-3"/>
        </w:rPr>
        <w:t> </w:t>
      </w:r>
      <w:r>
        <w:rPr>
          <w:spacing w:val="-2"/>
        </w:rPr>
        <w:t>Desempenho</w:t>
      </w:r>
    </w:p>
    <w:p>
      <w:pPr>
        <w:pStyle w:val="BodyText"/>
      </w:pPr>
    </w:p>
    <w:p>
      <w:pPr>
        <w:pStyle w:val="BodyText"/>
        <w:spacing w:before="90"/>
      </w:pPr>
    </w:p>
    <w:p>
      <w:pPr>
        <w:pStyle w:val="BodyText"/>
        <w:spacing w:line="196" w:lineRule="auto"/>
        <w:ind w:left="2457" w:right="939"/>
        <w:jc w:val="both"/>
      </w:pPr>
      <w:r>
        <w:rPr/>
        <w:t>Art. 61-L. O Órgão Gestor deverá acompanhar o desempenho do serviço através de indicadores de desempenho e metas segundo um Sistema de Avaliação de Desempenho.</w:t>
      </w:r>
    </w:p>
    <w:p>
      <w:pPr>
        <w:pStyle w:val="BodyText"/>
        <w:spacing w:line="196" w:lineRule="auto" w:before="219"/>
        <w:ind w:left="2457" w:right="938"/>
        <w:jc w:val="both"/>
      </w:pPr>
      <w:r>
        <w:rPr/>
        <w:t>§ 1º A implantação e a operação do sistema de avaliação serão realizadas pelo Município, através do Órgão Gestor, a quem caberá também, a definição detalhada da metodologia a ser empregada na definição da nota de referência a ser atribuída ao serviço da Concessionária e ao sistema.</w:t>
      </w:r>
    </w:p>
    <w:p>
      <w:pPr>
        <w:pStyle w:val="BodyText"/>
        <w:spacing w:line="196" w:lineRule="auto" w:before="220"/>
        <w:ind w:left="2457" w:right="938"/>
        <w:jc w:val="both"/>
      </w:pPr>
      <w:r>
        <w:rPr/>
        <w:t>§ 2º A Concessionária fica obrigada a fornecer todas as informações İsicas, operacionais e tarifárias decorrentes da operação do serviço e que forem requeridas pelo Órgão Gestor e ou permitir o acesso ao banco de dados gerado pelo sistema de controle da operação.</w:t>
      </w:r>
    </w:p>
    <w:p>
      <w:pPr>
        <w:pStyle w:val="BodyText"/>
        <w:spacing w:line="196" w:lineRule="auto" w:before="219"/>
        <w:ind w:left="2457" w:right="939"/>
        <w:jc w:val="both"/>
      </w:pPr>
      <w:r>
        <w:rPr/>
        <w:t>Art. 61-M. A avaliação e aferição seguirão os parâmetros estabelecidos no quadro de indicadores Sistema de Avaliação de Desempenho desenvolvido, que permitirão avaliar o desempenho da Concessionária e o cumprimento dos serviços básicos para efeito de avaliação da permanência da Concessionária na operação do serviço e de sua expansão, se for o caso.</w:t>
      </w:r>
    </w:p>
    <w:p>
      <w:pPr>
        <w:pStyle w:val="BodyText"/>
      </w:pPr>
    </w:p>
    <w:p>
      <w:pPr>
        <w:pStyle w:val="BodyText"/>
        <w:spacing w:before="62"/>
      </w:pPr>
    </w:p>
    <w:p>
      <w:pPr>
        <w:pStyle w:val="BodyText"/>
        <w:ind w:left="1563"/>
        <w:jc w:val="center"/>
      </w:pPr>
      <w:r>
        <w:rPr/>
        <w:t>Seção</w:t>
      </w:r>
      <w:r>
        <w:rPr>
          <w:spacing w:val="-5"/>
        </w:rPr>
        <w:t> IV</w:t>
      </w:r>
    </w:p>
    <w:p>
      <w:pPr>
        <w:pStyle w:val="BodyText"/>
        <w:spacing w:after="0"/>
        <w:jc w:val="center"/>
        <w:sectPr>
          <w:pgSz w:w="11910" w:h="16840"/>
          <w:pgMar w:header="390" w:footer="624" w:top="2040" w:bottom="820" w:left="1700" w:right="0"/>
        </w:sectPr>
      </w:pPr>
    </w:p>
    <w:p>
      <w:pPr>
        <w:pStyle w:val="BodyText"/>
        <w:spacing w:before="226"/>
      </w:pPr>
    </w:p>
    <w:p>
      <w:pPr>
        <w:pStyle w:val="BodyText"/>
        <w:spacing w:before="1"/>
        <w:ind w:left="4648"/>
      </w:pPr>
      <w:r>
        <w:rPr/>
        <w:t>Da</w:t>
      </w:r>
      <w:r>
        <w:rPr>
          <w:spacing w:val="-5"/>
        </w:rPr>
        <w:t> </w:t>
      </w:r>
      <w:r>
        <w:rPr/>
        <w:t>Publicidade</w:t>
      </w:r>
      <w:r>
        <w:rPr>
          <w:spacing w:val="-5"/>
        </w:rPr>
        <w:t> </w:t>
      </w:r>
      <w:r>
        <w:rPr/>
        <w:t>nos</w:t>
      </w:r>
      <w:r>
        <w:rPr>
          <w:spacing w:val="-5"/>
        </w:rPr>
        <w:t> </w:t>
      </w:r>
      <w:r>
        <w:rPr>
          <w:spacing w:val="-2"/>
        </w:rPr>
        <w:t>Serviços</w:t>
      </w:r>
    </w:p>
    <w:p>
      <w:pPr>
        <w:pStyle w:val="BodyText"/>
      </w:pPr>
    </w:p>
    <w:p>
      <w:pPr>
        <w:pStyle w:val="BodyText"/>
        <w:spacing w:before="90"/>
      </w:pPr>
    </w:p>
    <w:p>
      <w:pPr>
        <w:pStyle w:val="BodyText"/>
        <w:spacing w:line="196" w:lineRule="auto"/>
        <w:ind w:left="2457" w:right="940"/>
        <w:jc w:val="both"/>
      </w:pPr>
      <w:r>
        <w:rPr/>
        <w:t>Art. 61-N Fica o Órgão Gestor, em caráter de exclusividade, autorizado a explorar a publicidade nos veículos que compõe a frota, terminais urbanos, pontos de parada, abrigos de passageiros e mobiliários a eles integrados, bem como em qualquer dispositivo tecnológico utilizado no sistema.</w:t>
      </w:r>
    </w:p>
    <w:p>
      <w:pPr>
        <w:pStyle w:val="BodyText"/>
        <w:spacing w:line="196" w:lineRule="auto" w:before="219"/>
        <w:ind w:left="2457" w:right="938"/>
        <w:jc w:val="both"/>
      </w:pPr>
      <w:r>
        <w:rPr/>
        <w:t>Art. 61-O Nos espaços publicitários e condicionantes para a veiculação de mídias será vedada a publicidade que contenha:</w:t>
      </w:r>
    </w:p>
    <w:p>
      <w:pPr>
        <w:pStyle w:val="ListParagraph"/>
        <w:numPr>
          <w:ilvl w:val="0"/>
          <w:numId w:val="5"/>
        </w:numPr>
        <w:tabs>
          <w:tab w:pos="2561" w:val="left" w:leader="none"/>
        </w:tabs>
        <w:spacing w:line="240" w:lineRule="auto" w:before="182" w:after="0"/>
        <w:ind w:left="2561" w:right="0" w:hanging="104"/>
        <w:jc w:val="left"/>
        <w:rPr>
          <w:sz w:val="22"/>
        </w:rPr>
      </w:pPr>
      <w:r>
        <w:rPr>
          <w:sz w:val="22"/>
        </w:rPr>
        <w:t>-</w:t>
      </w:r>
      <w:r>
        <w:rPr>
          <w:spacing w:val="-5"/>
          <w:sz w:val="22"/>
        </w:rPr>
        <w:t> </w:t>
      </w:r>
      <w:r>
        <w:rPr>
          <w:sz w:val="22"/>
        </w:rPr>
        <w:t>Propaganda</w:t>
      </w:r>
      <w:r>
        <w:rPr>
          <w:spacing w:val="-3"/>
          <w:sz w:val="22"/>
        </w:rPr>
        <w:t> </w:t>
      </w:r>
      <w:r>
        <w:rPr>
          <w:sz w:val="22"/>
        </w:rPr>
        <w:t>ideológica</w:t>
      </w:r>
      <w:r>
        <w:rPr>
          <w:spacing w:val="-2"/>
          <w:sz w:val="22"/>
        </w:rPr>
        <w:t> </w:t>
      </w:r>
      <w:r>
        <w:rPr>
          <w:sz w:val="22"/>
        </w:rPr>
        <w:t>ou</w:t>
      </w:r>
      <w:r>
        <w:rPr>
          <w:spacing w:val="-3"/>
          <w:sz w:val="22"/>
        </w:rPr>
        <w:t> </w:t>
      </w:r>
      <w:r>
        <w:rPr>
          <w:sz w:val="22"/>
        </w:rPr>
        <w:t>político</w:t>
      </w:r>
      <w:r>
        <w:rPr>
          <w:spacing w:val="-2"/>
          <w:sz w:val="22"/>
        </w:rPr>
        <w:t> partidária;</w:t>
      </w:r>
    </w:p>
    <w:p>
      <w:pPr>
        <w:pStyle w:val="ListParagraph"/>
        <w:numPr>
          <w:ilvl w:val="0"/>
          <w:numId w:val="5"/>
        </w:numPr>
        <w:tabs>
          <w:tab w:pos="2615" w:val="left" w:leader="none"/>
        </w:tabs>
        <w:spacing w:line="240" w:lineRule="auto" w:before="171" w:after="0"/>
        <w:ind w:left="2615" w:right="0" w:hanging="158"/>
        <w:jc w:val="left"/>
        <w:rPr>
          <w:sz w:val="22"/>
        </w:rPr>
      </w:pPr>
      <w:r>
        <w:rPr>
          <w:sz w:val="22"/>
        </w:rPr>
        <w:drawing>
          <wp:anchor distT="0" distB="0" distL="0" distR="0" allowOverlap="1" layoutInCell="1" locked="0" behindDoc="0" simplePos="0" relativeHeight="15732736">
            <wp:simplePos x="0" y="0"/>
            <wp:positionH relativeFrom="page">
              <wp:posOffset>7217155</wp:posOffset>
            </wp:positionH>
            <wp:positionV relativeFrom="paragraph">
              <wp:posOffset>84701</wp:posOffset>
            </wp:positionV>
            <wp:extent cx="342900" cy="3616043"/>
            <wp:effectExtent l="0" t="0" r="0" b="0"/>
            <wp:wrapNone/>
            <wp:docPr id="10" name="Image 10"/>
            <wp:cNvGraphicFramePr>
              <a:graphicFrameLocks/>
            </wp:cNvGraphicFramePr>
            <a:graphic>
              <a:graphicData uri="http://schemas.openxmlformats.org/drawingml/2006/picture">
                <pic:pic>
                  <pic:nvPicPr>
                    <pic:cNvPr id="10" name="Image 10"/>
                    <pic:cNvPicPr/>
                  </pic:nvPicPr>
                  <pic:blipFill>
                    <a:blip r:embed="rId7" cstate="print"/>
                    <a:stretch>
                      <a:fillRect/>
                    </a:stretch>
                  </pic:blipFill>
                  <pic:spPr>
                    <a:xfrm>
                      <a:off x="0" y="0"/>
                      <a:ext cx="342900" cy="3616043"/>
                    </a:xfrm>
                    <a:prstGeom prst="rect">
                      <a:avLst/>
                    </a:prstGeom>
                  </pic:spPr>
                </pic:pic>
              </a:graphicData>
            </a:graphic>
          </wp:anchor>
        </w:drawing>
      </w:r>
      <w:r>
        <w:rPr>
          <w:sz w:val="22"/>
        </w:rPr>
        <w:t>-</w:t>
      </w:r>
      <w:r>
        <w:rPr>
          <w:spacing w:val="-3"/>
          <w:sz w:val="22"/>
        </w:rPr>
        <w:t> </w:t>
      </w:r>
      <w:r>
        <w:rPr>
          <w:sz w:val="22"/>
        </w:rPr>
        <w:t>Propaganda</w:t>
      </w:r>
      <w:r>
        <w:rPr>
          <w:spacing w:val="-2"/>
          <w:sz w:val="22"/>
        </w:rPr>
        <w:t> </w:t>
      </w:r>
      <w:r>
        <w:rPr>
          <w:sz w:val="22"/>
        </w:rPr>
        <w:t>de</w:t>
      </w:r>
      <w:r>
        <w:rPr>
          <w:spacing w:val="-2"/>
          <w:sz w:val="22"/>
        </w:rPr>
        <w:t> </w:t>
      </w:r>
      <w:r>
        <w:rPr>
          <w:sz w:val="22"/>
        </w:rPr>
        <w:t>cigarro</w:t>
      </w:r>
      <w:r>
        <w:rPr>
          <w:spacing w:val="-2"/>
          <w:sz w:val="22"/>
        </w:rPr>
        <w:t> </w:t>
      </w:r>
      <w:r>
        <w:rPr>
          <w:sz w:val="22"/>
        </w:rPr>
        <w:t>e</w:t>
      </w:r>
      <w:r>
        <w:rPr>
          <w:spacing w:val="-2"/>
          <w:sz w:val="22"/>
        </w:rPr>
        <w:t> </w:t>
      </w:r>
      <w:r>
        <w:rPr>
          <w:sz w:val="22"/>
        </w:rPr>
        <w:t>bebida</w:t>
      </w:r>
      <w:r>
        <w:rPr>
          <w:spacing w:val="-2"/>
          <w:sz w:val="22"/>
        </w:rPr>
        <w:t> alcoólica;</w:t>
      </w:r>
    </w:p>
    <w:p>
      <w:pPr>
        <w:pStyle w:val="ListParagraph"/>
        <w:numPr>
          <w:ilvl w:val="0"/>
          <w:numId w:val="5"/>
        </w:numPr>
        <w:tabs>
          <w:tab w:pos="2713" w:val="left" w:leader="none"/>
        </w:tabs>
        <w:spacing w:line="196" w:lineRule="auto" w:before="210" w:after="0"/>
        <w:ind w:left="2457" w:right="937" w:firstLine="0"/>
        <w:jc w:val="both"/>
        <w:rPr>
          <w:sz w:val="22"/>
        </w:rPr>
      </w:pPr>
      <w:r>
        <w:rPr>
          <w:sz w:val="22"/>
        </w:rPr>
        <w:t>- Propaganda de veículos particulares (automóveis e motocicletas) ou contenha mensagem negativa a respeito do transporte público;</w:t>
      </w:r>
    </w:p>
    <w:p>
      <w:pPr>
        <w:pStyle w:val="ListParagraph"/>
        <w:numPr>
          <w:ilvl w:val="0"/>
          <w:numId w:val="5"/>
        </w:numPr>
        <w:tabs>
          <w:tab w:pos="2685" w:val="left" w:leader="none"/>
        </w:tabs>
        <w:spacing w:line="240" w:lineRule="auto" w:before="181" w:after="0"/>
        <w:ind w:left="2685" w:right="0" w:hanging="228"/>
        <w:jc w:val="left"/>
        <w:rPr>
          <w:sz w:val="22"/>
        </w:rPr>
      </w:pPr>
      <w:r>
        <w:rPr>
          <w:sz w:val="22"/>
        </w:rPr>
        <w:t>-</w:t>
      </w:r>
      <w:r>
        <w:rPr>
          <w:spacing w:val="-7"/>
          <w:sz w:val="22"/>
        </w:rPr>
        <w:t> </w:t>
      </w:r>
      <w:r>
        <w:rPr>
          <w:sz w:val="22"/>
        </w:rPr>
        <w:t>Propaganda</w:t>
      </w:r>
      <w:r>
        <w:rPr>
          <w:spacing w:val="-4"/>
          <w:sz w:val="22"/>
        </w:rPr>
        <w:t> </w:t>
      </w:r>
      <w:r>
        <w:rPr>
          <w:sz w:val="22"/>
        </w:rPr>
        <w:t>que</w:t>
      </w:r>
      <w:r>
        <w:rPr>
          <w:spacing w:val="-4"/>
          <w:sz w:val="22"/>
        </w:rPr>
        <w:t> </w:t>
      </w:r>
      <w:r>
        <w:rPr>
          <w:sz w:val="22"/>
        </w:rPr>
        <w:t>estimule</w:t>
      </w:r>
      <w:r>
        <w:rPr>
          <w:spacing w:val="-5"/>
          <w:sz w:val="22"/>
        </w:rPr>
        <w:t> </w:t>
      </w:r>
      <w:r>
        <w:rPr>
          <w:sz w:val="22"/>
        </w:rPr>
        <w:t>qualquer</w:t>
      </w:r>
      <w:r>
        <w:rPr>
          <w:spacing w:val="-4"/>
          <w:sz w:val="22"/>
        </w:rPr>
        <w:t> </w:t>
      </w:r>
      <w:r>
        <w:rPr>
          <w:sz w:val="22"/>
        </w:rPr>
        <w:t>espécie</w:t>
      </w:r>
      <w:r>
        <w:rPr>
          <w:spacing w:val="-4"/>
          <w:sz w:val="22"/>
        </w:rPr>
        <w:t> </w:t>
      </w:r>
      <w:r>
        <w:rPr>
          <w:sz w:val="22"/>
        </w:rPr>
        <w:t>de</w:t>
      </w:r>
      <w:r>
        <w:rPr>
          <w:spacing w:val="-4"/>
          <w:sz w:val="22"/>
        </w:rPr>
        <w:t> </w:t>
      </w:r>
      <w:r>
        <w:rPr>
          <w:spacing w:val="-2"/>
          <w:sz w:val="22"/>
        </w:rPr>
        <w:t>discriminação.</w:t>
      </w:r>
    </w:p>
    <w:p>
      <w:pPr>
        <w:pStyle w:val="BodyText"/>
        <w:spacing w:line="196" w:lineRule="auto" w:before="210"/>
        <w:ind w:left="2457" w:right="940"/>
        <w:jc w:val="both"/>
      </w:pPr>
      <w:r>
        <w:rPr/>
        <w:t>§1° A exploração de publicidade deverá obedecer às exigências previstas na legislação federal, estadual e municipal pertinente e no contrato de concessão em vigor.</w:t>
      </w:r>
    </w:p>
    <w:p>
      <w:pPr>
        <w:pStyle w:val="BodyText"/>
        <w:spacing w:line="196" w:lineRule="auto" w:before="219"/>
        <w:ind w:left="2457" w:right="938"/>
        <w:jc w:val="both"/>
      </w:pPr>
      <w:r>
        <w:rPr/>
        <w:t>§2° Os valores obtidos pela utilização de espaços publicitários nos veículos do sistema deverão ser revertidos para financiamento do próprio sistema, obedecendo às diretrizes definidas no contrato de concessão em vigor.”</w:t>
      </w:r>
    </w:p>
    <w:p>
      <w:pPr>
        <w:pStyle w:val="BodyText"/>
      </w:pPr>
    </w:p>
    <w:p>
      <w:pPr>
        <w:pStyle w:val="BodyText"/>
        <w:spacing w:before="63"/>
      </w:pPr>
    </w:p>
    <w:p>
      <w:pPr>
        <w:pStyle w:val="BodyText"/>
        <w:spacing w:line="393" w:lineRule="auto"/>
        <w:ind w:left="355" w:right="4238"/>
      </w:pPr>
      <w:r>
        <w:rPr/>
        <w:t>Art.</w:t>
      </w:r>
      <w:r>
        <w:rPr>
          <w:spacing w:val="-4"/>
        </w:rPr>
        <w:t> </w:t>
      </w:r>
      <w:r>
        <w:rPr/>
        <w:t>11.</w:t>
      </w:r>
      <w:r>
        <w:rPr>
          <w:spacing w:val="-4"/>
        </w:rPr>
        <w:t> </w:t>
      </w:r>
      <w:r>
        <w:rPr/>
        <w:t>Esta</w:t>
      </w:r>
      <w:r>
        <w:rPr>
          <w:spacing w:val="-4"/>
        </w:rPr>
        <w:t> </w:t>
      </w:r>
      <w:r>
        <w:rPr/>
        <w:t>Lei</w:t>
      </w:r>
      <w:r>
        <w:rPr>
          <w:spacing w:val="-4"/>
        </w:rPr>
        <w:t> </w:t>
      </w:r>
      <w:r>
        <w:rPr/>
        <w:t>entrará</w:t>
      </w:r>
      <w:r>
        <w:rPr>
          <w:spacing w:val="-4"/>
        </w:rPr>
        <w:t> </w:t>
      </w:r>
      <w:r>
        <w:rPr/>
        <w:t>em</w:t>
      </w:r>
      <w:r>
        <w:rPr>
          <w:spacing w:val="-4"/>
        </w:rPr>
        <w:t> </w:t>
      </w:r>
      <w:r>
        <w:rPr/>
        <w:t>vigor</w:t>
      </w:r>
      <w:r>
        <w:rPr>
          <w:spacing w:val="-4"/>
        </w:rPr>
        <w:t> </w:t>
      </w:r>
      <w:r>
        <w:rPr/>
        <w:t>na</w:t>
      </w:r>
      <w:r>
        <w:rPr>
          <w:spacing w:val="-4"/>
        </w:rPr>
        <w:t> </w:t>
      </w:r>
      <w:r>
        <w:rPr/>
        <w:t>data</w:t>
      </w:r>
      <w:r>
        <w:rPr>
          <w:spacing w:val="-4"/>
        </w:rPr>
        <w:t> </w:t>
      </w:r>
      <w:r>
        <w:rPr/>
        <w:t>de</w:t>
      </w:r>
      <w:r>
        <w:rPr>
          <w:spacing w:val="-4"/>
        </w:rPr>
        <w:t> </w:t>
      </w:r>
      <w:r>
        <w:rPr/>
        <w:t>sua</w:t>
      </w:r>
      <w:r>
        <w:rPr>
          <w:spacing w:val="-4"/>
        </w:rPr>
        <w:t> </w:t>
      </w:r>
      <w:r>
        <w:rPr/>
        <w:t>publicação. Art. 12. Revoga:</w:t>
      </w:r>
    </w:p>
    <w:p>
      <w:pPr>
        <w:pStyle w:val="BodyText"/>
        <w:spacing w:line="268" w:lineRule="exact"/>
        <w:ind w:left="355"/>
      </w:pPr>
      <w:r>
        <w:rPr/>
        <w:t>I</w:t>
      </w:r>
      <w:r>
        <w:rPr>
          <w:spacing w:val="-3"/>
        </w:rPr>
        <w:t> </w:t>
      </w:r>
      <w:r>
        <w:rPr/>
        <w:t>–</w:t>
      </w:r>
      <w:r>
        <w:rPr>
          <w:spacing w:val="-2"/>
        </w:rPr>
        <w:t> </w:t>
      </w:r>
      <w:r>
        <w:rPr/>
        <w:t>o</w:t>
      </w:r>
      <w:r>
        <w:rPr>
          <w:spacing w:val="-2"/>
        </w:rPr>
        <w:t> </w:t>
      </w:r>
      <w:r>
        <w:rPr/>
        <w:t>art.</w:t>
      </w:r>
      <w:r>
        <w:rPr>
          <w:spacing w:val="-3"/>
        </w:rPr>
        <w:t> </w:t>
      </w:r>
      <w:r>
        <w:rPr/>
        <w:t>41</w:t>
      </w:r>
      <w:r>
        <w:rPr>
          <w:spacing w:val="-2"/>
        </w:rPr>
        <w:t> </w:t>
      </w:r>
      <w:r>
        <w:rPr/>
        <w:t>da</w:t>
      </w:r>
      <w:r>
        <w:rPr>
          <w:spacing w:val="-2"/>
        </w:rPr>
        <w:t> </w:t>
      </w:r>
      <w:r>
        <w:rPr/>
        <w:t>Lei</w:t>
      </w:r>
      <w:r>
        <w:rPr>
          <w:spacing w:val="-3"/>
        </w:rPr>
        <w:t> </w:t>
      </w:r>
      <w:r>
        <w:rPr/>
        <w:t>nº</w:t>
      </w:r>
      <w:r>
        <w:rPr>
          <w:spacing w:val="-2"/>
        </w:rPr>
        <w:t> </w:t>
      </w:r>
      <w:r>
        <w:rPr/>
        <w:t>3.141,</w:t>
      </w:r>
      <w:r>
        <w:rPr>
          <w:spacing w:val="-2"/>
        </w:rPr>
        <w:t> </w:t>
      </w:r>
      <w:r>
        <w:rPr/>
        <w:t>de</w:t>
      </w:r>
      <w:r>
        <w:rPr>
          <w:spacing w:val="-2"/>
        </w:rPr>
        <w:t> 2013.</w:t>
      </w:r>
    </w:p>
    <w:p>
      <w:pPr>
        <w:pStyle w:val="BodyText"/>
      </w:pPr>
    </w:p>
    <w:p>
      <w:pPr>
        <w:pStyle w:val="BodyText"/>
        <w:spacing w:before="52"/>
      </w:pPr>
    </w:p>
    <w:p>
      <w:pPr>
        <w:pStyle w:val="BodyText"/>
        <w:spacing w:before="1"/>
        <w:ind w:right="834"/>
        <w:jc w:val="center"/>
      </w:pPr>
      <w:r>
        <w:rPr/>
        <w:t>Gramado,</w:t>
      </w:r>
      <w:r>
        <w:rPr>
          <w:spacing w:val="-4"/>
        </w:rPr>
        <w:t> </w:t>
      </w:r>
      <w:r>
        <w:rPr/>
        <w:t>22</w:t>
      </w:r>
      <w:r>
        <w:rPr>
          <w:spacing w:val="-4"/>
        </w:rPr>
        <w:t> </w:t>
      </w:r>
      <w:r>
        <w:rPr/>
        <w:t>de</w:t>
      </w:r>
      <w:r>
        <w:rPr>
          <w:spacing w:val="-4"/>
        </w:rPr>
        <w:t> </w:t>
      </w:r>
      <w:r>
        <w:rPr/>
        <w:t>abril</w:t>
      </w:r>
      <w:r>
        <w:rPr>
          <w:spacing w:val="-4"/>
        </w:rPr>
        <w:t> </w:t>
      </w:r>
      <w:r>
        <w:rPr/>
        <w:t>de</w:t>
      </w:r>
      <w:r>
        <w:rPr>
          <w:spacing w:val="-3"/>
        </w:rPr>
        <w:t> </w:t>
      </w:r>
      <w:r>
        <w:rPr>
          <w:spacing w:val="-2"/>
        </w:rPr>
        <w:t>2025.</w:t>
      </w:r>
    </w:p>
    <w:p>
      <w:pPr>
        <w:pStyle w:val="BodyText"/>
        <w:spacing w:before="10"/>
        <w:rPr>
          <w:sz w:val="15"/>
        </w:rPr>
      </w:pPr>
      <w:r>
        <w:rPr>
          <w:sz w:val="15"/>
        </w:rPr>
        <w:drawing>
          <wp:anchor distT="0" distB="0" distL="0" distR="0" allowOverlap="1" layoutInCell="1" locked="0" behindDoc="1" simplePos="0" relativeHeight="487590912">
            <wp:simplePos x="0" y="0"/>
            <wp:positionH relativeFrom="page">
              <wp:posOffset>3292856</wp:posOffset>
            </wp:positionH>
            <wp:positionV relativeFrom="paragraph">
              <wp:posOffset>137889</wp:posOffset>
            </wp:positionV>
            <wp:extent cx="2057142" cy="685800"/>
            <wp:effectExtent l="0" t="0" r="0" b="0"/>
            <wp:wrapTopAndBottom/>
            <wp:docPr id="11" name="Image 11"/>
            <wp:cNvGraphicFramePr>
              <a:graphicFrameLocks/>
            </wp:cNvGraphicFramePr>
            <a:graphic>
              <a:graphicData uri="http://schemas.openxmlformats.org/drawingml/2006/picture">
                <pic:pic>
                  <pic:nvPicPr>
                    <pic:cNvPr id="11" name="Image 11"/>
                    <pic:cNvPicPr/>
                  </pic:nvPicPr>
                  <pic:blipFill>
                    <a:blip r:embed="rId8" cstate="print"/>
                    <a:stretch>
                      <a:fillRect/>
                    </a:stretch>
                  </pic:blipFill>
                  <pic:spPr>
                    <a:xfrm>
                      <a:off x="0" y="0"/>
                      <a:ext cx="2057142" cy="685800"/>
                    </a:xfrm>
                    <a:prstGeom prst="rect">
                      <a:avLst/>
                    </a:prstGeom>
                  </pic:spPr>
                </pic:pic>
              </a:graphicData>
            </a:graphic>
          </wp:anchor>
        </w:drawing>
      </w:r>
    </w:p>
    <w:p>
      <w:pPr>
        <w:spacing w:line="199" w:lineRule="auto" w:before="1"/>
        <w:ind w:left="3728" w:right="4563" w:firstLine="0"/>
        <w:jc w:val="center"/>
        <w:rPr>
          <w:b/>
          <w:sz w:val="22"/>
        </w:rPr>
      </w:pPr>
      <w:r>
        <w:rPr>
          <w:b/>
          <w:sz w:val="22"/>
        </w:rPr>
        <w:t>Nestor Tissot Prefeito</w:t>
      </w:r>
      <w:r>
        <w:rPr>
          <w:b/>
          <w:spacing w:val="-13"/>
          <w:sz w:val="22"/>
        </w:rPr>
        <w:t> </w:t>
      </w:r>
      <w:r>
        <w:rPr>
          <w:b/>
          <w:sz w:val="22"/>
        </w:rPr>
        <w:t>de</w:t>
      </w:r>
      <w:r>
        <w:rPr>
          <w:b/>
          <w:spacing w:val="-12"/>
          <w:sz w:val="22"/>
        </w:rPr>
        <w:t> </w:t>
      </w:r>
      <w:r>
        <w:rPr>
          <w:b/>
          <w:sz w:val="22"/>
        </w:rPr>
        <w:t>Gramado</w:t>
      </w:r>
    </w:p>
    <w:p>
      <w:pPr>
        <w:pStyle w:val="BodyText"/>
        <w:rPr>
          <w:b/>
        </w:rPr>
      </w:pPr>
    </w:p>
    <w:p>
      <w:pPr>
        <w:pStyle w:val="BodyText"/>
        <w:spacing w:before="63"/>
        <w:rPr>
          <w:b/>
        </w:rPr>
      </w:pPr>
    </w:p>
    <w:p>
      <w:pPr>
        <w:tabs>
          <w:tab w:pos="6138" w:val="left" w:leader="none"/>
        </w:tabs>
        <w:spacing w:before="0"/>
        <w:ind w:left="0" w:right="833" w:firstLine="0"/>
        <w:jc w:val="center"/>
        <w:rPr>
          <w:b/>
          <w:sz w:val="22"/>
        </w:rPr>
      </w:pPr>
      <w:r>
        <w:rPr>
          <w:b/>
          <w:sz w:val="22"/>
        </w:rPr>
        <w:drawing>
          <wp:anchor distT="0" distB="0" distL="0" distR="0" allowOverlap="1" layoutInCell="1" locked="0" behindDoc="1" simplePos="0" relativeHeight="487591424">
            <wp:simplePos x="0" y="0"/>
            <wp:positionH relativeFrom="page">
              <wp:posOffset>4254500</wp:posOffset>
            </wp:positionH>
            <wp:positionV relativeFrom="paragraph">
              <wp:posOffset>181724</wp:posOffset>
            </wp:positionV>
            <wp:extent cx="2000000" cy="666750"/>
            <wp:effectExtent l="0" t="0" r="0" b="0"/>
            <wp:wrapTopAndBottom/>
            <wp:docPr id="12" name="Image 12"/>
            <wp:cNvGraphicFramePr>
              <a:graphicFrameLocks/>
            </wp:cNvGraphicFramePr>
            <a:graphic>
              <a:graphicData uri="http://schemas.openxmlformats.org/drawingml/2006/picture">
                <pic:pic>
                  <pic:nvPicPr>
                    <pic:cNvPr id="12" name="Image 12"/>
                    <pic:cNvPicPr/>
                  </pic:nvPicPr>
                  <pic:blipFill>
                    <a:blip r:embed="rId9" cstate="print"/>
                    <a:stretch>
                      <a:fillRect/>
                    </a:stretch>
                  </pic:blipFill>
                  <pic:spPr>
                    <a:xfrm>
                      <a:off x="0" y="0"/>
                      <a:ext cx="2000000" cy="666750"/>
                    </a:xfrm>
                    <a:prstGeom prst="rect">
                      <a:avLst/>
                    </a:prstGeom>
                  </pic:spPr>
                </pic:pic>
              </a:graphicData>
            </a:graphic>
          </wp:anchor>
        </w:drawing>
      </w:r>
      <w:r>
        <w:rPr>
          <w:b/>
          <w:sz w:val="22"/>
        </w:rPr>
        <w:drawing>
          <wp:anchor distT="0" distB="0" distL="0" distR="0" allowOverlap="1" layoutInCell="1" locked="0" behindDoc="1" simplePos="0" relativeHeight="487460864">
            <wp:simplePos x="0" y="0"/>
            <wp:positionH relativeFrom="page">
              <wp:posOffset>1673860</wp:posOffset>
            </wp:positionH>
            <wp:positionV relativeFrom="paragraph">
              <wp:posOffset>102291</wp:posOffset>
            </wp:positionV>
            <wp:extent cx="2031999" cy="677417"/>
            <wp:effectExtent l="0" t="0" r="0" b="0"/>
            <wp:wrapNone/>
            <wp:docPr id="13" name="Image 13"/>
            <wp:cNvGraphicFramePr>
              <a:graphicFrameLocks/>
            </wp:cNvGraphicFramePr>
            <a:graphic>
              <a:graphicData uri="http://schemas.openxmlformats.org/drawingml/2006/picture">
                <pic:pic>
                  <pic:nvPicPr>
                    <pic:cNvPr id="13" name="Image 13"/>
                    <pic:cNvPicPr/>
                  </pic:nvPicPr>
                  <pic:blipFill>
                    <a:blip r:embed="rId10" cstate="print"/>
                    <a:stretch>
                      <a:fillRect/>
                    </a:stretch>
                  </pic:blipFill>
                  <pic:spPr>
                    <a:xfrm>
                      <a:off x="0" y="0"/>
                      <a:ext cx="2031999" cy="677417"/>
                    </a:xfrm>
                    <a:prstGeom prst="rect">
                      <a:avLst/>
                    </a:prstGeom>
                  </pic:spPr>
                </pic:pic>
              </a:graphicData>
            </a:graphic>
          </wp:anchor>
        </w:drawing>
      </w:r>
      <w:r>
        <w:rPr>
          <w:b/>
          <w:spacing w:val="-2"/>
          <w:sz w:val="22"/>
        </w:rPr>
        <w:t>Ciente.</w:t>
      </w:r>
      <w:r>
        <w:rPr>
          <w:b/>
          <w:sz w:val="22"/>
        </w:rPr>
        <w:tab/>
        <w:t>Registre-se</w:t>
      </w:r>
      <w:r>
        <w:rPr>
          <w:b/>
          <w:spacing w:val="-13"/>
          <w:sz w:val="22"/>
        </w:rPr>
        <w:t> </w:t>
      </w:r>
      <w:r>
        <w:rPr>
          <w:b/>
          <w:sz w:val="22"/>
        </w:rPr>
        <w:t>e</w:t>
      </w:r>
      <w:r>
        <w:rPr>
          <w:b/>
          <w:spacing w:val="-10"/>
          <w:sz w:val="22"/>
        </w:rPr>
        <w:t> </w:t>
      </w:r>
      <w:r>
        <w:rPr>
          <w:b/>
          <w:sz w:val="22"/>
        </w:rPr>
        <w:t>Publique-</w:t>
      </w:r>
      <w:r>
        <w:rPr>
          <w:b/>
          <w:spacing w:val="-5"/>
          <w:sz w:val="22"/>
        </w:rPr>
        <w:t>se.</w:t>
      </w:r>
    </w:p>
    <w:p>
      <w:pPr>
        <w:tabs>
          <w:tab w:pos="5475" w:val="left" w:leader="none"/>
          <w:tab w:pos="6326" w:val="left" w:leader="none"/>
        </w:tabs>
        <w:spacing w:line="199" w:lineRule="auto" w:before="0"/>
        <w:ind w:left="362" w:right="1197" w:hanging="1"/>
        <w:jc w:val="center"/>
        <w:rPr>
          <w:b/>
          <w:sz w:val="22"/>
        </w:rPr>
      </w:pPr>
      <w:r>
        <w:rPr>
          <w:b/>
          <w:sz w:val="22"/>
        </w:rPr>
        <w:t>Caiene Pereira Rodrigues</w:t>
        <w:tab/>
        <w:tab/>
        <w:t>Débora Brantes Prux da Silva Procuradora-Adjunta</w:t>
      </w:r>
      <w:r>
        <w:rPr>
          <w:b/>
          <w:spacing w:val="-11"/>
          <w:sz w:val="22"/>
        </w:rPr>
        <w:t> </w:t>
      </w:r>
      <w:r>
        <w:rPr>
          <w:b/>
          <w:sz w:val="22"/>
        </w:rPr>
        <w:t>do</w:t>
      </w:r>
      <w:r>
        <w:rPr>
          <w:b/>
          <w:spacing w:val="-10"/>
          <w:sz w:val="22"/>
        </w:rPr>
        <w:t> </w:t>
      </w:r>
      <w:r>
        <w:rPr>
          <w:b/>
          <w:spacing w:val="-2"/>
          <w:sz w:val="22"/>
        </w:rPr>
        <w:t>Município</w:t>
      </w:r>
      <w:r>
        <w:rPr>
          <w:b/>
          <w:sz w:val="22"/>
        </w:rPr>
        <w:tab/>
        <w:t>Secretária</w:t>
      </w:r>
      <w:r>
        <w:rPr>
          <w:b/>
          <w:spacing w:val="-9"/>
          <w:sz w:val="22"/>
        </w:rPr>
        <w:t> </w:t>
      </w:r>
      <w:r>
        <w:rPr>
          <w:b/>
          <w:sz w:val="22"/>
        </w:rPr>
        <w:t>Municipal</w:t>
      </w:r>
      <w:r>
        <w:rPr>
          <w:b/>
          <w:spacing w:val="-7"/>
          <w:sz w:val="22"/>
        </w:rPr>
        <w:t> </w:t>
      </w:r>
      <w:r>
        <w:rPr>
          <w:b/>
          <w:sz w:val="22"/>
        </w:rPr>
        <w:t>de</w:t>
      </w:r>
      <w:r>
        <w:rPr>
          <w:b/>
          <w:spacing w:val="-7"/>
          <w:sz w:val="22"/>
        </w:rPr>
        <w:t> </w:t>
      </w:r>
      <w:r>
        <w:rPr>
          <w:b/>
          <w:spacing w:val="-2"/>
          <w:sz w:val="22"/>
        </w:rPr>
        <w:t>Administração</w:t>
      </w:r>
    </w:p>
    <w:sectPr>
      <w:pgSz w:w="11910" w:h="16840"/>
      <w:pgMar w:header="390" w:footer="624" w:top="2040" w:bottom="820" w:left="170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Calibri">
    <w:altName w:val="Calibri"/>
    <w:charset w:val="1"/>
    <w:family w:val="roman"/>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57280">
              <wp:simplePos x="0" y="0"/>
              <wp:positionH relativeFrom="page">
                <wp:posOffset>1198880</wp:posOffset>
              </wp:positionH>
              <wp:positionV relativeFrom="page">
                <wp:posOffset>10156162</wp:posOffset>
              </wp:positionV>
              <wp:extent cx="5749925" cy="290830"/>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5749925" cy="290830"/>
                      </a:xfrm>
                      <a:prstGeom prst="rect">
                        <a:avLst/>
                      </a:prstGeom>
                    </wps:spPr>
                    <wps:txbx>
                      <w:txbxContent>
                        <w:p>
                          <w:pPr>
                            <w:spacing w:before="14"/>
                            <w:ind w:left="0" w:right="84" w:firstLine="0"/>
                            <w:jc w:val="right"/>
                            <w:rPr>
                              <w:rFonts w:ascii="Arial MT" w:hAnsi="Arial MT"/>
                              <w:sz w:val="16"/>
                            </w:rPr>
                          </w:pPr>
                          <w:r>
                            <w:rPr>
                              <w:rFonts w:ascii="Arial MT" w:hAnsi="Arial MT"/>
                              <w:sz w:val="16"/>
                            </w:rPr>
                            <w:t>Avenida</w:t>
                          </w:r>
                          <w:r>
                            <w:rPr>
                              <w:rFonts w:ascii="Arial MT" w:hAnsi="Arial MT"/>
                              <w:spacing w:val="-6"/>
                              <w:sz w:val="16"/>
                            </w:rPr>
                            <w:t> </w:t>
                          </w:r>
                          <w:r>
                            <w:rPr>
                              <w:rFonts w:ascii="Arial MT" w:hAnsi="Arial MT"/>
                              <w:sz w:val="16"/>
                            </w:rPr>
                            <w:t>Das</w:t>
                          </w:r>
                          <w:r>
                            <w:rPr>
                              <w:rFonts w:ascii="Arial MT" w:hAnsi="Arial MT"/>
                              <w:spacing w:val="-4"/>
                              <w:sz w:val="16"/>
                            </w:rPr>
                            <w:t> </w:t>
                          </w:r>
                          <w:r>
                            <w:rPr>
                              <w:rFonts w:ascii="Arial MT" w:hAnsi="Arial MT"/>
                              <w:sz w:val="16"/>
                            </w:rPr>
                            <w:t>Hortênsias</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2029</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Centro</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Cep</w:t>
                          </w:r>
                          <w:r>
                            <w:rPr>
                              <w:rFonts w:ascii="Arial MT" w:hAnsi="Arial MT"/>
                              <w:spacing w:val="-4"/>
                              <w:sz w:val="16"/>
                            </w:rPr>
                            <w:t> </w:t>
                          </w:r>
                          <w:r>
                            <w:rPr>
                              <w:rFonts w:ascii="Arial MT" w:hAnsi="Arial MT"/>
                              <w:sz w:val="16"/>
                            </w:rPr>
                            <w:t>95.670-900</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Gramado/RS</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Telefone:</w:t>
                          </w:r>
                          <w:r>
                            <w:rPr>
                              <w:rFonts w:ascii="Arial MT" w:hAnsi="Arial MT"/>
                              <w:spacing w:val="-4"/>
                              <w:sz w:val="16"/>
                            </w:rPr>
                            <w:t> </w:t>
                          </w:r>
                          <w:r>
                            <w:rPr>
                              <w:rFonts w:ascii="Arial MT" w:hAnsi="Arial MT"/>
                              <w:sz w:val="16"/>
                            </w:rPr>
                            <w:t>(54)</w:t>
                          </w:r>
                          <w:r>
                            <w:rPr>
                              <w:rFonts w:ascii="Arial MT" w:hAnsi="Arial MT"/>
                              <w:spacing w:val="-4"/>
                              <w:sz w:val="16"/>
                            </w:rPr>
                            <w:t> </w:t>
                          </w:r>
                          <w:r>
                            <w:rPr>
                              <w:rFonts w:ascii="Arial MT" w:hAnsi="Arial MT"/>
                              <w:sz w:val="16"/>
                            </w:rPr>
                            <w:t>3286-0200</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Site:</w:t>
                          </w:r>
                          <w:r>
                            <w:rPr>
                              <w:rFonts w:ascii="Arial MT" w:hAnsi="Arial MT"/>
                              <w:spacing w:val="-4"/>
                              <w:sz w:val="16"/>
                            </w:rPr>
                            <w:t> </w:t>
                          </w:r>
                          <w:r>
                            <w:rPr>
                              <w:rFonts w:ascii="Arial MT" w:hAnsi="Arial MT"/>
                              <w:spacing w:val="-2"/>
                              <w:sz w:val="16"/>
                            </w:rPr>
                            <w:t>gramado.rs.gov.br</w:t>
                          </w:r>
                        </w:p>
                        <w:p>
                          <w:pPr>
                            <w:spacing w:before="55"/>
                            <w:ind w:left="0" w:right="18" w:firstLine="0"/>
                            <w:jc w:val="right"/>
                            <w:rPr>
                              <w:rFonts w:ascii="Arial MT"/>
                              <w:sz w:val="16"/>
                            </w:rPr>
                          </w:pPr>
                          <w:r>
                            <w:rPr>
                              <w:rFonts w:ascii="Arial MT"/>
                              <w:sz w:val="16"/>
                            </w:rPr>
                            <w:fldChar w:fldCharType="begin"/>
                          </w:r>
                          <w:r>
                            <w:rPr>
                              <w:rFonts w:ascii="Arial MT"/>
                              <w:sz w:val="16"/>
                            </w:rPr>
                            <w:instrText> PAGE </w:instrText>
                          </w:r>
                          <w:r>
                            <w:rPr>
                              <w:rFonts w:ascii="Arial MT"/>
                              <w:sz w:val="16"/>
                            </w:rPr>
                            <w:fldChar w:fldCharType="separate"/>
                          </w:r>
                          <w:r>
                            <w:rPr>
                              <w:rFonts w:ascii="Arial MT"/>
                              <w:sz w:val="16"/>
                            </w:rPr>
                            <w:t>1</w:t>
                          </w:r>
                          <w:r>
                            <w:rPr>
                              <w:rFonts w:ascii="Arial MT"/>
                              <w:sz w:val="16"/>
                            </w:rPr>
                            <w:fldChar w:fldCharType="end"/>
                          </w:r>
                          <w:r>
                            <w:rPr>
                              <w:rFonts w:ascii="Arial MT"/>
                              <w:spacing w:val="42"/>
                              <w:sz w:val="16"/>
                            </w:rPr>
                            <w:t>  </w:t>
                          </w:r>
                          <w:r>
                            <w:rPr>
                              <w:rFonts w:ascii="Arial MT"/>
                              <w:sz w:val="16"/>
                            </w:rPr>
                            <w:t>/</w:t>
                          </w:r>
                          <w:r>
                            <w:rPr>
                              <w:rFonts w:ascii="Arial MT"/>
                              <w:spacing w:val="42"/>
                              <w:sz w:val="16"/>
                            </w:rPr>
                            <w:t>  </w:t>
                          </w:r>
                          <w:r>
                            <w:rPr>
                              <w:rFonts w:ascii="Arial MT"/>
                              <w:spacing w:val="-10"/>
                              <w:sz w:val="16"/>
                            </w:rPr>
                            <w:fldChar w:fldCharType="begin"/>
                          </w:r>
                          <w:r>
                            <w:rPr>
                              <w:rFonts w:ascii="Arial MT"/>
                              <w:spacing w:val="-10"/>
                              <w:sz w:val="16"/>
                            </w:rPr>
                            <w:instrText> NUMPAGES </w:instrText>
                          </w:r>
                          <w:r>
                            <w:rPr>
                              <w:rFonts w:ascii="Arial MT"/>
                              <w:spacing w:val="-10"/>
                              <w:sz w:val="16"/>
                            </w:rPr>
                            <w:fldChar w:fldCharType="separate"/>
                          </w:r>
                          <w:r>
                            <w:rPr>
                              <w:rFonts w:ascii="Arial MT"/>
                              <w:spacing w:val="-10"/>
                              <w:sz w:val="16"/>
                            </w:rPr>
                            <w:t>7</w:t>
                          </w:r>
                          <w:r>
                            <w:rPr>
                              <w:rFonts w:ascii="Arial MT"/>
                              <w:spacing w:val="-10"/>
                              <w:sz w:val="16"/>
                            </w:rPr>
                            <w:fldChar w:fldCharType="end"/>
                          </w:r>
                        </w:p>
                      </w:txbxContent>
                    </wps:txbx>
                    <wps:bodyPr wrap="square" lIns="0" tIns="0" rIns="0" bIns="0" rtlCol="0">
                      <a:noAutofit/>
                    </wps:bodyPr>
                  </wps:wsp>
                </a:graphicData>
              </a:graphic>
            </wp:anchor>
          </w:drawing>
        </mc:Choice>
        <mc:Fallback>
          <w:pict>
            <v:shape style="position:absolute;margin-left:94.400002pt;margin-top:799.697815pt;width:452.75pt;height:22.9pt;mso-position-horizontal-relative:page;mso-position-vertical-relative:page;z-index:-15859200" type="#_x0000_t202" id="docshape2" filled="false" stroked="false">
              <v:textbox inset="0,0,0,0">
                <w:txbxContent>
                  <w:p>
                    <w:pPr>
                      <w:spacing w:before="14"/>
                      <w:ind w:left="0" w:right="84" w:firstLine="0"/>
                      <w:jc w:val="right"/>
                      <w:rPr>
                        <w:rFonts w:ascii="Arial MT" w:hAnsi="Arial MT"/>
                        <w:sz w:val="16"/>
                      </w:rPr>
                    </w:pPr>
                    <w:r>
                      <w:rPr>
                        <w:rFonts w:ascii="Arial MT" w:hAnsi="Arial MT"/>
                        <w:sz w:val="16"/>
                      </w:rPr>
                      <w:t>Avenida</w:t>
                    </w:r>
                    <w:r>
                      <w:rPr>
                        <w:rFonts w:ascii="Arial MT" w:hAnsi="Arial MT"/>
                        <w:spacing w:val="-6"/>
                        <w:sz w:val="16"/>
                      </w:rPr>
                      <w:t> </w:t>
                    </w:r>
                    <w:r>
                      <w:rPr>
                        <w:rFonts w:ascii="Arial MT" w:hAnsi="Arial MT"/>
                        <w:sz w:val="16"/>
                      </w:rPr>
                      <w:t>Das</w:t>
                    </w:r>
                    <w:r>
                      <w:rPr>
                        <w:rFonts w:ascii="Arial MT" w:hAnsi="Arial MT"/>
                        <w:spacing w:val="-4"/>
                        <w:sz w:val="16"/>
                      </w:rPr>
                      <w:t> </w:t>
                    </w:r>
                    <w:r>
                      <w:rPr>
                        <w:rFonts w:ascii="Arial MT" w:hAnsi="Arial MT"/>
                        <w:sz w:val="16"/>
                      </w:rPr>
                      <w:t>Hortênsias</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2029</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Centro</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Cep</w:t>
                    </w:r>
                    <w:r>
                      <w:rPr>
                        <w:rFonts w:ascii="Arial MT" w:hAnsi="Arial MT"/>
                        <w:spacing w:val="-4"/>
                        <w:sz w:val="16"/>
                      </w:rPr>
                      <w:t> </w:t>
                    </w:r>
                    <w:r>
                      <w:rPr>
                        <w:rFonts w:ascii="Arial MT" w:hAnsi="Arial MT"/>
                        <w:sz w:val="16"/>
                      </w:rPr>
                      <w:t>95.670-900</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Gramado/RS</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Telefone:</w:t>
                    </w:r>
                    <w:r>
                      <w:rPr>
                        <w:rFonts w:ascii="Arial MT" w:hAnsi="Arial MT"/>
                        <w:spacing w:val="-4"/>
                        <w:sz w:val="16"/>
                      </w:rPr>
                      <w:t> </w:t>
                    </w:r>
                    <w:r>
                      <w:rPr>
                        <w:rFonts w:ascii="Arial MT" w:hAnsi="Arial MT"/>
                        <w:sz w:val="16"/>
                      </w:rPr>
                      <w:t>(54)</w:t>
                    </w:r>
                    <w:r>
                      <w:rPr>
                        <w:rFonts w:ascii="Arial MT" w:hAnsi="Arial MT"/>
                        <w:spacing w:val="-4"/>
                        <w:sz w:val="16"/>
                      </w:rPr>
                      <w:t> </w:t>
                    </w:r>
                    <w:r>
                      <w:rPr>
                        <w:rFonts w:ascii="Arial MT" w:hAnsi="Arial MT"/>
                        <w:sz w:val="16"/>
                      </w:rPr>
                      <w:t>3286-0200</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Site:</w:t>
                    </w:r>
                    <w:r>
                      <w:rPr>
                        <w:rFonts w:ascii="Arial MT" w:hAnsi="Arial MT"/>
                        <w:spacing w:val="-4"/>
                        <w:sz w:val="16"/>
                      </w:rPr>
                      <w:t> </w:t>
                    </w:r>
                    <w:r>
                      <w:rPr>
                        <w:rFonts w:ascii="Arial MT" w:hAnsi="Arial MT"/>
                        <w:spacing w:val="-2"/>
                        <w:sz w:val="16"/>
                      </w:rPr>
                      <w:t>gramado.rs.gov.br</w:t>
                    </w:r>
                  </w:p>
                  <w:p>
                    <w:pPr>
                      <w:spacing w:before="55"/>
                      <w:ind w:left="0" w:right="18" w:firstLine="0"/>
                      <w:jc w:val="right"/>
                      <w:rPr>
                        <w:rFonts w:ascii="Arial MT"/>
                        <w:sz w:val="16"/>
                      </w:rPr>
                    </w:pPr>
                    <w:r>
                      <w:rPr>
                        <w:rFonts w:ascii="Arial MT"/>
                        <w:sz w:val="16"/>
                      </w:rPr>
                      <w:fldChar w:fldCharType="begin"/>
                    </w:r>
                    <w:r>
                      <w:rPr>
                        <w:rFonts w:ascii="Arial MT"/>
                        <w:sz w:val="16"/>
                      </w:rPr>
                      <w:instrText> PAGE </w:instrText>
                    </w:r>
                    <w:r>
                      <w:rPr>
                        <w:rFonts w:ascii="Arial MT"/>
                        <w:sz w:val="16"/>
                      </w:rPr>
                      <w:fldChar w:fldCharType="separate"/>
                    </w:r>
                    <w:r>
                      <w:rPr>
                        <w:rFonts w:ascii="Arial MT"/>
                        <w:sz w:val="16"/>
                      </w:rPr>
                      <w:t>1</w:t>
                    </w:r>
                    <w:r>
                      <w:rPr>
                        <w:rFonts w:ascii="Arial MT"/>
                        <w:sz w:val="16"/>
                      </w:rPr>
                      <w:fldChar w:fldCharType="end"/>
                    </w:r>
                    <w:r>
                      <w:rPr>
                        <w:rFonts w:ascii="Arial MT"/>
                        <w:spacing w:val="42"/>
                        <w:sz w:val="16"/>
                      </w:rPr>
                      <w:t>  </w:t>
                    </w:r>
                    <w:r>
                      <w:rPr>
                        <w:rFonts w:ascii="Arial MT"/>
                        <w:sz w:val="16"/>
                      </w:rPr>
                      <w:t>/</w:t>
                    </w:r>
                    <w:r>
                      <w:rPr>
                        <w:rFonts w:ascii="Arial MT"/>
                        <w:spacing w:val="42"/>
                        <w:sz w:val="16"/>
                      </w:rPr>
                      <w:t>  </w:t>
                    </w:r>
                    <w:r>
                      <w:rPr>
                        <w:rFonts w:ascii="Arial MT"/>
                        <w:spacing w:val="-10"/>
                        <w:sz w:val="16"/>
                      </w:rPr>
                      <w:fldChar w:fldCharType="begin"/>
                    </w:r>
                    <w:r>
                      <w:rPr>
                        <w:rFonts w:ascii="Arial MT"/>
                        <w:spacing w:val="-10"/>
                        <w:sz w:val="16"/>
                      </w:rPr>
                      <w:instrText> NUMPAGES </w:instrText>
                    </w:r>
                    <w:r>
                      <w:rPr>
                        <w:rFonts w:ascii="Arial MT"/>
                        <w:spacing w:val="-10"/>
                        <w:sz w:val="16"/>
                      </w:rPr>
                      <w:fldChar w:fldCharType="separate"/>
                    </w:r>
                    <w:r>
                      <w:rPr>
                        <w:rFonts w:ascii="Arial MT"/>
                        <w:spacing w:val="-10"/>
                        <w:sz w:val="16"/>
                      </w:rPr>
                      <w:t>7</w:t>
                    </w:r>
                    <w:r>
                      <w:rPr>
                        <w:rFonts w:ascii="Arial MT"/>
                        <w:spacing w:val="-10"/>
                        <w:sz w:val="16"/>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7456256">
          <wp:simplePos x="0" y="0"/>
          <wp:positionH relativeFrom="page">
            <wp:posOffset>3775455</wp:posOffset>
          </wp:positionH>
          <wp:positionV relativeFrom="page">
            <wp:posOffset>247650</wp:posOffset>
          </wp:positionV>
          <wp:extent cx="549021" cy="719963"/>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549021" cy="71996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7456768">
              <wp:simplePos x="0" y="0"/>
              <wp:positionH relativeFrom="page">
                <wp:posOffset>2182495</wp:posOffset>
              </wp:positionH>
              <wp:positionV relativeFrom="page">
                <wp:posOffset>1009199</wp:posOffset>
              </wp:positionV>
              <wp:extent cx="3750945" cy="30924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3750945" cy="309245"/>
                      </a:xfrm>
                      <a:prstGeom prst="rect">
                        <a:avLst/>
                      </a:prstGeom>
                    </wps:spPr>
                    <wps:txbx>
                      <w:txbxContent>
                        <w:p>
                          <w:pPr>
                            <w:spacing w:before="7"/>
                            <w:ind w:left="20" w:right="0" w:firstLine="0"/>
                            <w:jc w:val="left"/>
                            <w:rPr>
                              <w:rFonts w:ascii="Arial"/>
                              <w:i/>
                              <w:sz w:val="40"/>
                            </w:rPr>
                          </w:pPr>
                          <w:r>
                            <w:rPr>
                              <w:rFonts w:ascii="Arial"/>
                              <w:i/>
                              <w:sz w:val="40"/>
                            </w:rPr>
                            <w:t>Prefeitura</w:t>
                          </w:r>
                          <w:r>
                            <w:rPr>
                              <w:rFonts w:ascii="Arial"/>
                              <w:i/>
                              <w:spacing w:val="-7"/>
                              <w:sz w:val="40"/>
                            </w:rPr>
                            <w:t> </w:t>
                          </w:r>
                          <w:r>
                            <w:rPr>
                              <w:rFonts w:ascii="Arial"/>
                              <w:i/>
                              <w:sz w:val="40"/>
                            </w:rPr>
                            <w:t>Municipal</w:t>
                          </w:r>
                          <w:r>
                            <w:rPr>
                              <w:rFonts w:ascii="Arial"/>
                              <w:i/>
                              <w:spacing w:val="-7"/>
                              <w:sz w:val="40"/>
                            </w:rPr>
                            <w:t> </w:t>
                          </w:r>
                          <w:r>
                            <w:rPr>
                              <w:rFonts w:ascii="Arial"/>
                              <w:i/>
                              <w:sz w:val="40"/>
                            </w:rPr>
                            <w:t>de</w:t>
                          </w:r>
                          <w:r>
                            <w:rPr>
                              <w:rFonts w:ascii="Arial"/>
                              <w:i/>
                              <w:spacing w:val="-7"/>
                              <w:sz w:val="40"/>
                            </w:rPr>
                            <w:t> </w:t>
                          </w:r>
                          <w:r>
                            <w:rPr>
                              <w:rFonts w:ascii="Arial"/>
                              <w:i/>
                              <w:spacing w:val="-2"/>
                              <w:sz w:val="40"/>
                            </w:rPr>
                            <w:t>Gramado</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71.850006pt;margin-top:79.464546pt;width:295.350pt;height:24.35pt;mso-position-horizontal-relative:page;mso-position-vertical-relative:page;z-index:-15859712" type="#_x0000_t202" id="docshape1" filled="false" stroked="false">
              <v:textbox inset="0,0,0,0">
                <w:txbxContent>
                  <w:p>
                    <w:pPr>
                      <w:spacing w:before="7"/>
                      <w:ind w:left="20" w:right="0" w:firstLine="0"/>
                      <w:jc w:val="left"/>
                      <w:rPr>
                        <w:rFonts w:ascii="Arial"/>
                        <w:i/>
                        <w:sz w:val="40"/>
                      </w:rPr>
                    </w:pPr>
                    <w:r>
                      <w:rPr>
                        <w:rFonts w:ascii="Arial"/>
                        <w:i/>
                        <w:sz w:val="40"/>
                      </w:rPr>
                      <w:t>Prefeitura</w:t>
                    </w:r>
                    <w:r>
                      <w:rPr>
                        <w:rFonts w:ascii="Arial"/>
                        <w:i/>
                        <w:spacing w:val="-7"/>
                        <w:sz w:val="40"/>
                      </w:rPr>
                      <w:t> </w:t>
                    </w:r>
                    <w:r>
                      <w:rPr>
                        <w:rFonts w:ascii="Arial"/>
                        <w:i/>
                        <w:sz w:val="40"/>
                      </w:rPr>
                      <w:t>Municipal</w:t>
                    </w:r>
                    <w:r>
                      <w:rPr>
                        <w:rFonts w:ascii="Arial"/>
                        <w:i/>
                        <w:spacing w:val="-7"/>
                        <w:sz w:val="40"/>
                      </w:rPr>
                      <w:t> </w:t>
                    </w:r>
                    <w:r>
                      <w:rPr>
                        <w:rFonts w:ascii="Arial"/>
                        <w:i/>
                        <w:sz w:val="40"/>
                      </w:rPr>
                      <w:t>de</w:t>
                    </w:r>
                    <w:r>
                      <w:rPr>
                        <w:rFonts w:ascii="Arial"/>
                        <w:i/>
                        <w:spacing w:val="-7"/>
                        <w:sz w:val="40"/>
                      </w:rPr>
                      <w:t> </w:t>
                    </w:r>
                    <w:r>
                      <w:rPr>
                        <w:rFonts w:ascii="Arial"/>
                        <w:i/>
                        <w:spacing w:val="-2"/>
                        <w:sz w:val="40"/>
                      </w:rPr>
                      <w:t>Gramado</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upperRoman"/>
      <w:lvlText w:val="%1"/>
      <w:lvlJc w:val="left"/>
      <w:pPr>
        <w:ind w:left="2457" w:hanging="127"/>
        <w:jc w:val="left"/>
      </w:pPr>
      <w:rPr>
        <w:rFonts w:hint="default" w:ascii="Calibri" w:hAnsi="Calibri" w:eastAsia="Calibri" w:cs="Calibri"/>
        <w:b w:val="0"/>
        <w:bCs w:val="0"/>
        <w:i w:val="0"/>
        <w:iCs w:val="0"/>
        <w:spacing w:val="0"/>
        <w:w w:val="100"/>
        <w:sz w:val="22"/>
        <w:szCs w:val="22"/>
        <w:lang w:val="pt-PT" w:eastAsia="en-US" w:bidi="ar-SA"/>
      </w:rPr>
    </w:lvl>
    <w:lvl w:ilvl="1">
      <w:start w:val="0"/>
      <w:numFmt w:val="bullet"/>
      <w:lvlText w:val="•"/>
      <w:lvlJc w:val="left"/>
      <w:pPr>
        <w:ind w:left="3234" w:hanging="127"/>
      </w:pPr>
      <w:rPr>
        <w:rFonts w:hint="default"/>
        <w:lang w:val="pt-PT" w:eastAsia="en-US" w:bidi="ar-SA"/>
      </w:rPr>
    </w:lvl>
    <w:lvl w:ilvl="2">
      <w:start w:val="0"/>
      <w:numFmt w:val="bullet"/>
      <w:lvlText w:val="•"/>
      <w:lvlJc w:val="left"/>
      <w:pPr>
        <w:ind w:left="4009" w:hanging="127"/>
      </w:pPr>
      <w:rPr>
        <w:rFonts w:hint="default"/>
        <w:lang w:val="pt-PT" w:eastAsia="en-US" w:bidi="ar-SA"/>
      </w:rPr>
    </w:lvl>
    <w:lvl w:ilvl="3">
      <w:start w:val="0"/>
      <w:numFmt w:val="bullet"/>
      <w:lvlText w:val="•"/>
      <w:lvlJc w:val="left"/>
      <w:pPr>
        <w:ind w:left="4783" w:hanging="127"/>
      </w:pPr>
      <w:rPr>
        <w:rFonts w:hint="default"/>
        <w:lang w:val="pt-PT" w:eastAsia="en-US" w:bidi="ar-SA"/>
      </w:rPr>
    </w:lvl>
    <w:lvl w:ilvl="4">
      <w:start w:val="0"/>
      <w:numFmt w:val="bullet"/>
      <w:lvlText w:val="•"/>
      <w:lvlJc w:val="left"/>
      <w:pPr>
        <w:ind w:left="5558" w:hanging="127"/>
      </w:pPr>
      <w:rPr>
        <w:rFonts w:hint="default"/>
        <w:lang w:val="pt-PT" w:eastAsia="en-US" w:bidi="ar-SA"/>
      </w:rPr>
    </w:lvl>
    <w:lvl w:ilvl="5">
      <w:start w:val="0"/>
      <w:numFmt w:val="bullet"/>
      <w:lvlText w:val="•"/>
      <w:lvlJc w:val="left"/>
      <w:pPr>
        <w:ind w:left="6332" w:hanging="127"/>
      </w:pPr>
      <w:rPr>
        <w:rFonts w:hint="default"/>
        <w:lang w:val="pt-PT" w:eastAsia="en-US" w:bidi="ar-SA"/>
      </w:rPr>
    </w:lvl>
    <w:lvl w:ilvl="6">
      <w:start w:val="0"/>
      <w:numFmt w:val="bullet"/>
      <w:lvlText w:val="•"/>
      <w:lvlJc w:val="left"/>
      <w:pPr>
        <w:ind w:left="7107" w:hanging="127"/>
      </w:pPr>
      <w:rPr>
        <w:rFonts w:hint="default"/>
        <w:lang w:val="pt-PT" w:eastAsia="en-US" w:bidi="ar-SA"/>
      </w:rPr>
    </w:lvl>
    <w:lvl w:ilvl="7">
      <w:start w:val="0"/>
      <w:numFmt w:val="bullet"/>
      <w:lvlText w:val="•"/>
      <w:lvlJc w:val="left"/>
      <w:pPr>
        <w:ind w:left="7881" w:hanging="127"/>
      </w:pPr>
      <w:rPr>
        <w:rFonts w:hint="default"/>
        <w:lang w:val="pt-PT" w:eastAsia="en-US" w:bidi="ar-SA"/>
      </w:rPr>
    </w:lvl>
    <w:lvl w:ilvl="8">
      <w:start w:val="0"/>
      <w:numFmt w:val="bullet"/>
      <w:lvlText w:val="•"/>
      <w:lvlJc w:val="left"/>
      <w:pPr>
        <w:ind w:left="8656" w:hanging="127"/>
      </w:pPr>
      <w:rPr>
        <w:rFonts w:hint="default"/>
        <w:lang w:val="pt-PT" w:eastAsia="en-US" w:bidi="ar-SA"/>
      </w:rPr>
    </w:lvl>
  </w:abstractNum>
  <w:abstractNum w:abstractNumId="4">
    <w:multiLevelType w:val="hybridMultilevel"/>
    <w:lvl w:ilvl="0">
      <w:start w:val="1"/>
      <w:numFmt w:val="upperRoman"/>
      <w:lvlText w:val="%1"/>
      <w:lvlJc w:val="left"/>
      <w:pPr>
        <w:ind w:left="2562" w:hanging="105"/>
        <w:jc w:val="left"/>
      </w:pPr>
      <w:rPr>
        <w:rFonts w:hint="default" w:ascii="Calibri" w:hAnsi="Calibri" w:eastAsia="Calibri" w:cs="Calibri"/>
        <w:b w:val="0"/>
        <w:bCs w:val="0"/>
        <w:i w:val="0"/>
        <w:iCs w:val="0"/>
        <w:spacing w:val="0"/>
        <w:w w:val="100"/>
        <w:sz w:val="22"/>
        <w:szCs w:val="22"/>
        <w:lang w:val="pt-PT" w:eastAsia="en-US" w:bidi="ar-SA"/>
      </w:rPr>
    </w:lvl>
    <w:lvl w:ilvl="1">
      <w:start w:val="0"/>
      <w:numFmt w:val="bullet"/>
      <w:lvlText w:val="•"/>
      <w:lvlJc w:val="left"/>
      <w:pPr>
        <w:ind w:left="3324" w:hanging="105"/>
      </w:pPr>
      <w:rPr>
        <w:rFonts w:hint="default"/>
        <w:lang w:val="pt-PT" w:eastAsia="en-US" w:bidi="ar-SA"/>
      </w:rPr>
    </w:lvl>
    <w:lvl w:ilvl="2">
      <w:start w:val="0"/>
      <w:numFmt w:val="bullet"/>
      <w:lvlText w:val="•"/>
      <w:lvlJc w:val="left"/>
      <w:pPr>
        <w:ind w:left="4089" w:hanging="105"/>
      </w:pPr>
      <w:rPr>
        <w:rFonts w:hint="default"/>
        <w:lang w:val="pt-PT" w:eastAsia="en-US" w:bidi="ar-SA"/>
      </w:rPr>
    </w:lvl>
    <w:lvl w:ilvl="3">
      <w:start w:val="0"/>
      <w:numFmt w:val="bullet"/>
      <w:lvlText w:val="•"/>
      <w:lvlJc w:val="left"/>
      <w:pPr>
        <w:ind w:left="4853" w:hanging="105"/>
      </w:pPr>
      <w:rPr>
        <w:rFonts w:hint="default"/>
        <w:lang w:val="pt-PT" w:eastAsia="en-US" w:bidi="ar-SA"/>
      </w:rPr>
    </w:lvl>
    <w:lvl w:ilvl="4">
      <w:start w:val="0"/>
      <w:numFmt w:val="bullet"/>
      <w:lvlText w:val="•"/>
      <w:lvlJc w:val="left"/>
      <w:pPr>
        <w:ind w:left="5618" w:hanging="105"/>
      </w:pPr>
      <w:rPr>
        <w:rFonts w:hint="default"/>
        <w:lang w:val="pt-PT" w:eastAsia="en-US" w:bidi="ar-SA"/>
      </w:rPr>
    </w:lvl>
    <w:lvl w:ilvl="5">
      <w:start w:val="0"/>
      <w:numFmt w:val="bullet"/>
      <w:lvlText w:val="•"/>
      <w:lvlJc w:val="left"/>
      <w:pPr>
        <w:ind w:left="6382" w:hanging="105"/>
      </w:pPr>
      <w:rPr>
        <w:rFonts w:hint="default"/>
        <w:lang w:val="pt-PT" w:eastAsia="en-US" w:bidi="ar-SA"/>
      </w:rPr>
    </w:lvl>
    <w:lvl w:ilvl="6">
      <w:start w:val="0"/>
      <w:numFmt w:val="bullet"/>
      <w:lvlText w:val="•"/>
      <w:lvlJc w:val="left"/>
      <w:pPr>
        <w:ind w:left="7147" w:hanging="105"/>
      </w:pPr>
      <w:rPr>
        <w:rFonts w:hint="default"/>
        <w:lang w:val="pt-PT" w:eastAsia="en-US" w:bidi="ar-SA"/>
      </w:rPr>
    </w:lvl>
    <w:lvl w:ilvl="7">
      <w:start w:val="0"/>
      <w:numFmt w:val="bullet"/>
      <w:lvlText w:val="•"/>
      <w:lvlJc w:val="left"/>
      <w:pPr>
        <w:ind w:left="7911" w:hanging="105"/>
      </w:pPr>
      <w:rPr>
        <w:rFonts w:hint="default"/>
        <w:lang w:val="pt-PT" w:eastAsia="en-US" w:bidi="ar-SA"/>
      </w:rPr>
    </w:lvl>
    <w:lvl w:ilvl="8">
      <w:start w:val="0"/>
      <w:numFmt w:val="bullet"/>
      <w:lvlText w:val="•"/>
      <w:lvlJc w:val="left"/>
      <w:pPr>
        <w:ind w:left="8676" w:hanging="105"/>
      </w:pPr>
      <w:rPr>
        <w:rFonts w:hint="default"/>
        <w:lang w:val="pt-PT" w:eastAsia="en-US" w:bidi="ar-SA"/>
      </w:rPr>
    </w:lvl>
  </w:abstractNum>
  <w:abstractNum w:abstractNumId="3">
    <w:multiLevelType w:val="hybridMultilevel"/>
    <w:lvl w:ilvl="0">
      <w:start w:val="1"/>
      <w:numFmt w:val="upperRoman"/>
      <w:lvlText w:val="%1"/>
      <w:lvlJc w:val="left"/>
      <w:pPr>
        <w:ind w:left="2457" w:hanging="139"/>
        <w:jc w:val="left"/>
      </w:pPr>
      <w:rPr>
        <w:rFonts w:hint="default" w:ascii="Calibri" w:hAnsi="Calibri" w:eastAsia="Calibri" w:cs="Calibri"/>
        <w:b w:val="0"/>
        <w:bCs w:val="0"/>
        <w:i w:val="0"/>
        <w:iCs w:val="0"/>
        <w:spacing w:val="0"/>
        <w:w w:val="100"/>
        <w:sz w:val="22"/>
        <w:szCs w:val="22"/>
        <w:lang w:val="pt-PT" w:eastAsia="en-US" w:bidi="ar-SA"/>
      </w:rPr>
    </w:lvl>
    <w:lvl w:ilvl="1">
      <w:start w:val="1"/>
      <w:numFmt w:val="lowerLetter"/>
      <w:lvlText w:val="%2)"/>
      <w:lvlJc w:val="left"/>
      <w:pPr>
        <w:ind w:left="2457" w:hanging="335"/>
        <w:jc w:val="left"/>
      </w:pPr>
      <w:rPr>
        <w:rFonts w:hint="default" w:ascii="Calibri" w:hAnsi="Calibri" w:eastAsia="Calibri" w:cs="Calibri"/>
        <w:b w:val="0"/>
        <w:bCs w:val="0"/>
        <w:i w:val="0"/>
        <w:iCs w:val="0"/>
        <w:spacing w:val="-1"/>
        <w:w w:val="100"/>
        <w:sz w:val="22"/>
        <w:szCs w:val="22"/>
        <w:lang w:val="pt-PT" w:eastAsia="en-US" w:bidi="ar-SA"/>
      </w:rPr>
    </w:lvl>
    <w:lvl w:ilvl="2">
      <w:start w:val="1"/>
      <w:numFmt w:val="upperRoman"/>
      <w:lvlText w:val="%3"/>
      <w:lvlJc w:val="left"/>
      <w:pPr>
        <w:ind w:left="2457" w:hanging="152"/>
        <w:jc w:val="left"/>
      </w:pPr>
      <w:rPr>
        <w:rFonts w:hint="default" w:ascii="Calibri" w:hAnsi="Calibri" w:eastAsia="Calibri" w:cs="Calibri"/>
        <w:b w:val="0"/>
        <w:bCs w:val="0"/>
        <w:i w:val="0"/>
        <w:iCs w:val="0"/>
        <w:spacing w:val="0"/>
        <w:w w:val="100"/>
        <w:sz w:val="22"/>
        <w:szCs w:val="22"/>
        <w:lang w:val="pt-PT" w:eastAsia="en-US" w:bidi="ar-SA"/>
      </w:rPr>
    </w:lvl>
    <w:lvl w:ilvl="3">
      <w:start w:val="0"/>
      <w:numFmt w:val="bullet"/>
      <w:lvlText w:val="•"/>
      <w:lvlJc w:val="left"/>
      <w:pPr>
        <w:ind w:left="4783" w:hanging="152"/>
      </w:pPr>
      <w:rPr>
        <w:rFonts w:hint="default"/>
        <w:lang w:val="pt-PT" w:eastAsia="en-US" w:bidi="ar-SA"/>
      </w:rPr>
    </w:lvl>
    <w:lvl w:ilvl="4">
      <w:start w:val="0"/>
      <w:numFmt w:val="bullet"/>
      <w:lvlText w:val="•"/>
      <w:lvlJc w:val="left"/>
      <w:pPr>
        <w:ind w:left="5558" w:hanging="152"/>
      </w:pPr>
      <w:rPr>
        <w:rFonts w:hint="default"/>
        <w:lang w:val="pt-PT" w:eastAsia="en-US" w:bidi="ar-SA"/>
      </w:rPr>
    </w:lvl>
    <w:lvl w:ilvl="5">
      <w:start w:val="0"/>
      <w:numFmt w:val="bullet"/>
      <w:lvlText w:val="•"/>
      <w:lvlJc w:val="left"/>
      <w:pPr>
        <w:ind w:left="6332" w:hanging="152"/>
      </w:pPr>
      <w:rPr>
        <w:rFonts w:hint="default"/>
        <w:lang w:val="pt-PT" w:eastAsia="en-US" w:bidi="ar-SA"/>
      </w:rPr>
    </w:lvl>
    <w:lvl w:ilvl="6">
      <w:start w:val="0"/>
      <w:numFmt w:val="bullet"/>
      <w:lvlText w:val="•"/>
      <w:lvlJc w:val="left"/>
      <w:pPr>
        <w:ind w:left="7107" w:hanging="152"/>
      </w:pPr>
      <w:rPr>
        <w:rFonts w:hint="default"/>
        <w:lang w:val="pt-PT" w:eastAsia="en-US" w:bidi="ar-SA"/>
      </w:rPr>
    </w:lvl>
    <w:lvl w:ilvl="7">
      <w:start w:val="0"/>
      <w:numFmt w:val="bullet"/>
      <w:lvlText w:val="•"/>
      <w:lvlJc w:val="left"/>
      <w:pPr>
        <w:ind w:left="7881" w:hanging="152"/>
      </w:pPr>
      <w:rPr>
        <w:rFonts w:hint="default"/>
        <w:lang w:val="pt-PT" w:eastAsia="en-US" w:bidi="ar-SA"/>
      </w:rPr>
    </w:lvl>
    <w:lvl w:ilvl="8">
      <w:start w:val="0"/>
      <w:numFmt w:val="bullet"/>
      <w:lvlText w:val="•"/>
      <w:lvlJc w:val="left"/>
      <w:pPr>
        <w:ind w:left="8656" w:hanging="152"/>
      </w:pPr>
      <w:rPr>
        <w:rFonts w:hint="default"/>
        <w:lang w:val="pt-PT" w:eastAsia="en-US" w:bidi="ar-SA"/>
      </w:rPr>
    </w:lvl>
  </w:abstractNum>
  <w:abstractNum w:abstractNumId="2">
    <w:multiLevelType w:val="hybridMultilevel"/>
    <w:lvl w:ilvl="0">
      <w:start w:val="1"/>
      <w:numFmt w:val="upperRoman"/>
      <w:lvlText w:val="%1"/>
      <w:lvlJc w:val="left"/>
      <w:pPr>
        <w:ind w:left="2562" w:hanging="105"/>
        <w:jc w:val="left"/>
      </w:pPr>
      <w:rPr>
        <w:rFonts w:hint="default" w:ascii="Calibri" w:hAnsi="Calibri" w:eastAsia="Calibri" w:cs="Calibri"/>
        <w:b w:val="0"/>
        <w:bCs w:val="0"/>
        <w:i w:val="0"/>
        <w:iCs w:val="0"/>
        <w:spacing w:val="0"/>
        <w:w w:val="100"/>
        <w:sz w:val="22"/>
        <w:szCs w:val="22"/>
        <w:lang w:val="pt-PT" w:eastAsia="en-US" w:bidi="ar-SA"/>
      </w:rPr>
    </w:lvl>
    <w:lvl w:ilvl="1">
      <w:start w:val="0"/>
      <w:numFmt w:val="bullet"/>
      <w:lvlText w:val="•"/>
      <w:lvlJc w:val="left"/>
      <w:pPr>
        <w:ind w:left="3324" w:hanging="105"/>
      </w:pPr>
      <w:rPr>
        <w:rFonts w:hint="default"/>
        <w:lang w:val="pt-PT" w:eastAsia="en-US" w:bidi="ar-SA"/>
      </w:rPr>
    </w:lvl>
    <w:lvl w:ilvl="2">
      <w:start w:val="0"/>
      <w:numFmt w:val="bullet"/>
      <w:lvlText w:val="•"/>
      <w:lvlJc w:val="left"/>
      <w:pPr>
        <w:ind w:left="4089" w:hanging="105"/>
      </w:pPr>
      <w:rPr>
        <w:rFonts w:hint="default"/>
        <w:lang w:val="pt-PT" w:eastAsia="en-US" w:bidi="ar-SA"/>
      </w:rPr>
    </w:lvl>
    <w:lvl w:ilvl="3">
      <w:start w:val="0"/>
      <w:numFmt w:val="bullet"/>
      <w:lvlText w:val="•"/>
      <w:lvlJc w:val="left"/>
      <w:pPr>
        <w:ind w:left="4853" w:hanging="105"/>
      </w:pPr>
      <w:rPr>
        <w:rFonts w:hint="default"/>
        <w:lang w:val="pt-PT" w:eastAsia="en-US" w:bidi="ar-SA"/>
      </w:rPr>
    </w:lvl>
    <w:lvl w:ilvl="4">
      <w:start w:val="0"/>
      <w:numFmt w:val="bullet"/>
      <w:lvlText w:val="•"/>
      <w:lvlJc w:val="left"/>
      <w:pPr>
        <w:ind w:left="5618" w:hanging="105"/>
      </w:pPr>
      <w:rPr>
        <w:rFonts w:hint="default"/>
        <w:lang w:val="pt-PT" w:eastAsia="en-US" w:bidi="ar-SA"/>
      </w:rPr>
    </w:lvl>
    <w:lvl w:ilvl="5">
      <w:start w:val="0"/>
      <w:numFmt w:val="bullet"/>
      <w:lvlText w:val="•"/>
      <w:lvlJc w:val="left"/>
      <w:pPr>
        <w:ind w:left="6382" w:hanging="105"/>
      </w:pPr>
      <w:rPr>
        <w:rFonts w:hint="default"/>
        <w:lang w:val="pt-PT" w:eastAsia="en-US" w:bidi="ar-SA"/>
      </w:rPr>
    </w:lvl>
    <w:lvl w:ilvl="6">
      <w:start w:val="0"/>
      <w:numFmt w:val="bullet"/>
      <w:lvlText w:val="•"/>
      <w:lvlJc w:val="left"/>
      <w:pPr>
        <w:ind w:left="7147" w:hanging="105"/>
      </w:pPr>
      <w:rPr>
        <w:rFonts w:hint="default"/>
        <w:lang w:val="pt-PT" w:eastAsia="en-US" w:bidi="ar-SA"/>
      </w:rPr>
    </w:lvl>
    <w:lvl w:ilvl="7">
      <w:start w:val="0"/>
      <w:numFmt w:val="bullet"/>
      <w:lvlText w:val="•"/>
      <w:lvlJc w:val="left"/>
      <w:pPr>
        <w:ind w:left="7911" w:hanging="105"/>
      </w:pPr>
      <w:rPr>
        <w:rFonts w:hint="default"/>
        <w:lang w:val="pt-PT" w:eastAsia="en-US" w:bidi="ar-SA"/>
      </w:rPr>
    </w:lvl>
    <w:lvl w:ilvl="8">
      <w:start w:val="0"/>
      <w:numFmt w:val="bullet"/>
      <w:lvlText w:val="•"/>
      <w:lvlJc w:val="left"/>
      <w:pPr>
        <w:ind w:left="8676" w:hanging="105"/>
      </w:pPr>
      <w:rPr>
        <w:rFonts w:hint="default"/>
        <w:lang w:val="pt-PT" w:eastAsia="en-US" w:bidi="ar-SA"/>
      </w:rPr>
    </w:lvl>
  </w:abstractNum>
  <w:abstractNum w:abstractNumId="1">
    <w:multiLevelType w:val="hybridMultilevel"/>
    <w:lvl w:ilvl="0">
      <w:start w:val="1"/>
      <w:numFmt w:val="upperRoman"/>
      <w:lvlText w:val="%1"/>
      <w:lvlJc w:val="left"/>
      <w:pPr>
        <w:ind w:left="2562" w:hanging="105"/>
        <w:jc w:val="left"/>
      </w:pPr>
      <w:rPr>
        <w:rFonts w:hint="default" w:ascii="Calibri" w:hAnsi="Calibri" w:eastAsia="Calibri" w:cs="Calibri"/>
        <w:b w:val="0"/>
        <w:bCs w:val="0"/>
        <w:i w:val="0"/>
        <w:iCs w:val="0"/>
        <w:spacing w:val="0"/>
        <w:w w:val="100"/>
        <w:sz w:val="22"/>
        <w:szCs w:val="22"/>
        <w:lang w:val="pt-PT" w:eastAsia="en-US" w:bidi="ar-SA"/>
      </w:rPr>
    </w:lvl>
    <w:lvl w:ilvl="1">
      <w:start w:val="0"/>
      <w:numFmt w:val="bullet"/>
      <w:lvlText w:val="•"/>
      <w:lvlJc w:val="left"/>
      <w:pPr>
        <w:ind w:left="3324" w:hanging="105"/>
      </w:pPr>
      <w:rPr>
        <w:rFonts w:hint="default"/>
        <w:lang w:val="pt-PT" w:eastAsia="en-US" w:bidi="ar-SA"/>
      </w:rPr>
    </w:lvl>
    <w:lvl w:ilvl="2">
      <w:start w:val="0"/>
      <w:numFmt w:val="bullet"/>
      <w:lvlText w:val="•"/>
      <w:lvlJc w:val="left"/>
      <w:pPr>
        <w:ind w:left="4089" w:hanging="105"/>
      </w:pPr>
      <w:rPr>
        <w:rFonts w:hint="default"/>
        <w:lang w:val="pt-PT" w:eastAsia="en-US" w:bidi="ar-SA"/>
      </w:rPr>
    </w:lvl>
    <w:lvl w:ilvl="3">
      <w:start w:val="0"/>
      <w:numFmt w:val="bullet"/>
      <w:lvlText w:val="•"/>
      <w:lvlJc w:val="left"/>
      <w:pPr>
        <w:ind w:left="4853" w:hanging="105"/>
      </w:pPr>
      <w:rPr>
        <w:rFonts w:hint="default"/>
        <w:lang w:val="pt-PT" w:eastAsia="en-US" w:bidi="ar-SA"/>
      </w:rPr>
    </w:lvl>
    <w:lvl w:ilvl="4">
      <w:start w:val="0"/>
      <w:numFmt w:val="bullet"/>
      <w:lvlText w:val="•"/>
      <w:lvlJc w:val="left"/>
      <w:pPr>
        <w:ind w:left="5618" w:hanging="105"/>
      </w:pPr>
      <w:rPr>
        <w:rFonts w:hint="default"/>
        <w:lang w:val="pt-PT" w:eastAsia="en-US" w:bidi="ar-SA"/>
      </w:rPr>
    </w:lvl>
    <w:lvl w:ilvl="5">
      <w:start w:val="0"/>
      <w:numFmt w:val="bullet"/>
      <w:lvlText w:val="•"/>
      <w:lvlJc w:val="left"/>
      <w:pPr>
        <w:ind w:left="6382" w:hanging="105"/>
      </w:pPr>
      <w:rPr>
        <w:rFonts w:hint="default"/>
        <w:lang w:val="pt-PT" w:eastAsia="en-US" w:bidi="ar-SA"/>
      </w:rPr>
    </w:lvl>
    <w:lvl w:ilvl="6">
      <w:start w:val="0"/>
      <w:numFmt w:val="bullet"/>
      <w:lvlText w:val="•"/>
      <w:lvlJc w:val="left"/>
      <w:pPr>
        <w:ind w:left="7147" w:hanging="105"/>
      </w:pPr>
      <w:rPr>
        <w:rFonts w:hint="default"/>
        <w:lang w:val="pt-PT" w:eastAsia="en-US" w:bidi="ar-SA"/>
      </w:rPr>
    </w:lvl>
    <w:lvl w:ilvl="7">
      <w:start w:val="0"/>
      <w:numFmt w:val="bullet"/>
      <w:lvlText w:val="•"/>
      <w:lvlJc w:val="left"/>
      <w:pPr>
        <w:ind w:left="7911" w:hanging="105"/>
      </w:pPr>
      <w:rPr>
        <w:rFonts w:hint="default"/>
        <w:lang w:val="pt-PT" w:eastAsia="en-US" w:bidi="ar-SA"/>
      </w:rPr>
    </w:lvl>
    <w:lvl w:ilvl="8">
      <w:start w:val="0"/>
      <w:numFmt w:val="bullet"/>
      <w:lvlText w:val="•"/>
      <w:lvlJc w:val="left"/>
      <w:pPr>
        <w:ind w:left="8676" w:hanging="105"/>
      </w:pPr>
      <w:rPr>
        <w:rFonts w:hint="default"/>
        <w:lang w:val="pt-PT" w:eastAsia="en-US" w:bidi="ar-SA"/>
      </w:rPr>
    </w:lvl>
  </w:abstractNum>
  <w:num w:numId="1">
    <w:abstractNumId w:val="0"/>
  </w:num>
  <w:num w:numId="5">
    <w:abstractNumId w:val="4"/>
  </w:num>
  <w:num w:numId="4">
    <w:abstractNumId w:val="3"/>
  </w:num>
  <w:num w:numId="3">
    <w:abstractNumId w:val="2"/>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pt-PT" w:eastAsia="en-US" w:bidi="ar-SA"/>
    </w:rPr>
  </w:style>
  <w:style w:styleId="BodyText" w:type="paragraph">
    <w:name w:val="Body Text"/>
    <w:basedOn w:val="Normal"/>
    <w:uiPriority w:val="1"/>
    <w:qFormat/>
    <w:pPr/>
    <w:rPr>
      <w:rFonts w:ascii="Calibri" w:hAnsi="Calibri" w:eastAsia="Calibri" w:cs="Calibri"/>
      <w:sz w:val="22"/>
      <w:szCs w:val="22"/>
      <w:lang w:val="pt-PT" w:eastAsia="en-US" w:bidi="ar-SA"/>
    </w:rPr>
  </w:style>
  <w:style w:styleId="Title" w:type="paragraph">
    <w:name w:val="Title"/>
    <w:basedOn w:val="Normal"/>
    <w:uiPriority w:val="1"/>
    <w:qFormat/>
    <w:pPr>
      <w:spacing w:before="7"/>
      <w:ind w:left="20"/>
    </w:pPr>
    <w:rPr>
      <w:rFonts w:ascii="Arial" w:hAnsi="Arial" w:eastAsia="Arial" w:cs="Arial"/>
      <w:i/>
      <w:iCs/>
      <w:sz w:val="40"/>
      <w:szCs w:val="40"/>
      <w:lang w:val="pt-PT" w:eastAsia="en-US" w:bidi="ar-SA"/>
    </w:rPr>
  </w:style>
  <w:style w:styleId="ListParagraph" w:type="paragraph">
    <w:name w:val="List Paragraph"/>
    <w:basedOn w:val="Normal"/>
    <w:uiPriority w:val="1"/>
    <w:qFormat/>
    <w:pPr>
      <w:spacing w:before="219"/>
      <w:ind w:left="2457"/>
      <w:jc w:val="both"/>
    </w:pPr>
    <w:rPr>
      <w:rFonts w:ascii="Calibri" w:hAnsi="Calibri" w:eastAsia="Calibri" w:cs="Calibri"/>
      <w:lang w:val="pt-PT" w:eastAsia="en-US" w:bidi="ar-SA"/>
    </w:rPr>
  </w:style>
  <w:style w:styleId="TableParagraph" w:type="paragraph">
    <w:name w:val="Table Paragraph"/>
    <w:basedOn w:val="Normal"/>
    <w:uiPriority w:val="1"/>
    <w:qFormat/>
    <w:pPr/>
    <w:rPr>
      <w:lang w:val="pt-PT"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2025-04-29T12:49:34Z</dcterms:created>
  <dcterms:modified xsi:type="dcterms:W3CDTF">2025-04-29T12:49:34Z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2025-04-22T00:00:00Z</vt:filetime>
  </property>
  <property fmtid="{D5CDD505-2E9C-101B-9397-08002B2CF9AE}" pid="3" name="Creator">
    <vt:lpwstr>BIRT Report Engine /usr/local/tomcat/webapps/WebReport/WEB-INF/lib/org.eclipse.birt.runtime_4.10.0-20221001.jar.</vt:lpwstr>
  </property>
  <property fmtid="{D5CDD505-2E9C-101B-9397-08002B2CF9AE}" pid="4" name="LastSaved">
    <vt:filetime>2025-04-29T00:00:00Z</vt:filetime>
  </property>
  <property fmtid="{D5CDD505-2E9C-101B-9397-08002B2CF9AE}" pid="5" name="Producer">
    <vt:lpwstr>Bry Signer PDF 2.3.1</vt:lpwstr>
  </property>
</Properties>
</file>