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557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4501,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10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855" w:right="939"/>
        <w:jc w:val="both"/>
      </w:pPr>
      <w:r>
        <w:rPr/>
        <w:t>Autoriza a concessão de subsídio tarifário ao serviço público de transporte coletivo urbano de passageiros para a empresa prestadora do serviço no município de Gramado e dá outras</w:t>
      </w:r>
      <w:r>
        <w:rPr>
          <w:spacing w:val="40"/>
        </w:rPr>
        <w:t> </w:t>
      </w:r>
      <w:r>
        <w:rPr>
          <w:spacing w:val="-2"/>
        </w:rPr>
        <w:t>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4"/>
      </w:pPr>
    </w:p>
    <w:p>
      <w:pPr>
        <w:pStyle w:val="BodyText"/>
        <w:spacing w:line="196" w:lineRule="auto" w:before="1"/>
        <w:ind w:left="198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-283938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  <w:spacing w:line="196" w:lineRule="auto" w:before="219"/>
        <w:ind w:left="198" w:right="889" w:firstLine="149"/>
        <w:jc w:val="both"/>
      </w:pPr>
      <w:r>
        <w:rPr/>
        <w:t>Art. 1º Fica autorizada a concessão de subsídio tarifário ao serviço público de transporte coletivo urbano de passageiros para a empresa prestadora do serviço no município de Gramado, destinado a cobrir o </w:t>
      </w:r>
      <w:r>
        <w:rPr>
          <w:i/>
        </w:rPr>
        <w:t>déficit </w:t>
      </w:r>
      <w:r>
        <w:rPr/>
        <w:t>apurado no período de outubro, novembro e dezembro de 2025.</w:t>
      </w:r>
    </w:p>
    <w:p>
      <w:pPr>
        <w:pStyle w:val="BodyText"/>
        <w:spacing w:line="196" w:lineRule="auto" w:before="219"/>
        <w:ind w:left="198" w:right="888" w:firstLine="149"/>
        <w:jc w:val="both"/>
      </w:pPr>
      <w:r>
        <w:rPr/>
        <w:t>Art. 2º O valor destinado para a empresa prestadora do serviço transporte coletivo de passageiros do Município será de R$ 621.844,55 (seiscentos e vinte um mil, oitocentos e quarenta equatro reais e cinquenta e cinco centavos), repassado em parcela única, não incidindo qualquer espécie de</w:t>
      </w:r>
      <w:r>
        <w:rPr>
          <w:spacing w:val="40"/>
        </w:rPr>
        <w:t> </w:t>
      </w:r>
      <w:r>
        <w:rPr/>
        <w:t>atualização ou reajuste.</w:t>
      </w:r>
    </w:p>
    <w:p>
      <w:pPr>
        <w:pStyle w:val="BodyText"/>
        <w:spacing w:line="196" w:lineRule="auto" w:before="220"/>
        <w:ind w:left="198" w:right="888" w:firstLine="149"/>
        <w:jc w:val="both"/>
      </w:pPr>
      <w:r>
        <w:rPr/>
        <w:t>§ 1º O valor de que trata o </w:t>
      </w:r>
      <w:r>
        <w:rPr>
          <w:i/>
        </w:rPr>
        <w:t>caput </w:t>
      </w:r>
      <w:r>
        <w:rPr/>
        <w:t>deverá ser utilizado, exclusivamente, para a quitação dos débitos abaixo elencados, oriundos da inadimplência total ou parcial da empresa de obrigações cujos fatos geradores tenham ocorrido no período informado no art. 1º. e exclusivamente em relação a situações decorrentes das atividades desenvolvidas no Município de Gramado:</w:t>
      </w:r>
    </w:p>
    <w:p>
      <w:pPr>
        <w:pStyle w:val="ListParagraph"/>
        <w:numPr>
          <w:ilvl w:val="0"/>
          <w:numId w:val="1"/>
        </w:numPr>
        <w:tabs>
          <w:tab w:pos="451" w:val="left" w:leader="none"/>
        </w:tabs>
        <w:spacing w:line="240" w:lineRule="auto" w:before="181" w:after="0"/>
        <w:ind w:left="451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contribuições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previdenciárias;</w:t>
      </w:r>
    </w:p>
    <w:p>
      <w:pPr>
        <w:pStyle w:val="ListParagraph"/>
        <w:numPr>
          <w:ilvl w:val="0"/>
          <w:numId w:val="1"/>
        </w:numPr>
        <w:tabs>
          <w:tab w:pos="505" w:val="left" w:leader="none"/>
        </w:tabs>
        <w:spacing w:line="240" w:lineRule="auto" w:before="172" w:after="0"/>
        <w:ind w:left="505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verbas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trabalhistas;</w:t>
      </w:r>
    </w:p>
    <w:p>
      <w:pPr>
        <w:pStyle w:val="ListParagraph"/>
        <w:numPr>
          <w:ilvl w:val="0"/>
          <w:numId w:val="1"/>
        </w:numPr>
        <w:tabs>
          <w:tab w:pos="560" w:val="left" w:leader="none"/>
        </w:tabs>
        <w:spacing w:line="240" w:lineRule="auto" w:before="171" w:after="0"/>
        <w:ind w:left="560" w:right="0" w:hanging="213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recolhimentos</w:t>
      </w:r>
      <w:r>
        <w:rPr>
          <w:spacing w:val="-3"/>
          <w:sz w:val="22"/>
        </w:rPr>
        <w:t> </w:t>
      </w:r>
      <w:r>
        <w:rPr>
          <w:sz w:val="22"/>
        </w:rPr>
        <w:t>para</w:t>
      </w:r>
      <w:r>
        <w:rPr>
          <w:spacing w:val="-4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fundo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garantia</w:t>
      </w:r>
      <w:r>
        <w:rPr>
          <w:spacing w:val="-3"/>
          <w:sz w:val="22"/>
        </w:rPr>
        <w:t> </w:t>
      </w:r>
      <w:r>
        <w:rPr>
          <w:sz w:val="22"/>
        </w:rPr>
        <w:t>por</w:t>
      </w:r>
      <w:r>
        <w:rPr>
          <w:spacing w:val="-4"/>
          <w:sz w:val="22"/>
        </w:rPr>
        <w:t> </w:t>
      </w:r>
      <w:r>
        <w:rPr>
          <w:sz w:val="22"/>
        </w:rPr>
        <w:t>tempo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serviço;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171" w:after="0"/>
        <w:ind w:left="575" w:right="0" w:hanging="228"/>
        <w:jc w:val="left"/>
        <w:rPr>
          <w:sz w:val="22"/>
        </w:rPr>
      </w:pPr>
      <w:r>
        <w:rPr>
          <w:sz w:val="22"/>
        </w:rPr>
        <w:t>-</w:t>
      </w:r>
      <w:r>
        <w:rPr>
          <w:spacing w:val="-8"/>
          <w:sz w:val="22"/>
        </w:rPr>
        <w:t> </w:t>
      </w:r>
      <w:r>
        <w:rPr>
          <w:sz w:val="22"/>
        </w:rPr>
        <w:t>pagamento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tributos</w:t>
      </w:r>
      <w:r>
        <w:rPr>
          <w:spacing w:val="-6"/>
          <w:sz w:val="22"/>
        </w:rPr>
        <w:t> </w:t>
      </w:r>
      <w:r>
        <w:rPr>
          <w:sz w:val="22"/>
        </w:rPr>
        <w:t>federais,</w:t>
      </w:r>
      <w:r>
        <w:rPr>
          <w:spacing w:val="-5"/>
          <w:sz w:val="22"/>
        </w:rPr>
        <w:t> </w:t>
      </w:r>
      <w:r>
        <w:rPr>
          <w:sz w:val="22"/>
        </w:rPr>
        <w:t>estaduais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municipais;</w:t>
      </w:r>
    </w:p>
    <w:p>
      <w:pPr>
        <w:pStyle w:val="ListParagraph"/>
        <w:numPr>
          <w:ilvl w:val="0"/>
          <w:numId w:val="1"/>
        </w:numPr>
        <w:tabs>
          <w:tab w:pos="520" w:val="left" w:leader="none"/>
        </w:tabs>
        <w:spacing w:line="240" w:lineRule="auto" w:before="172" w:after="0"/>
        <w:ind w:left="520" w:right="0" w:hanging="173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pagamento</w:t>
      </w:r>
      <w:r>
        <w:rPr>
          <w:spacing w:val="-7"/>
          <w:sz w:val="22"/>
        </w:rPr>
        <w:t> </w:t>
      </w:r>
      <w:r>
        <w:rPr>
          <w:sz w:val="22"/>
        </w:rPr>
        <w:t>a</w:t>
      </w:r>
      <w:r>
        <w:rPr>
          <w:spacing w:val="-7"/>
          <w:sz w:val="22"/>
        </w:rPr>
        <w:t> </w:t>
      </w:r>
      <w:r>
        <w:rPr>
          <w:sz w:val="22"/>
        </w:rPr>
        <w:t>fornecedores</w:t>
      </w:r>
      <w:r>
        <w:rPr>
          <w:spacing w:val="-7"/>
          <w:sz w:val="22"/>
        </w:rPr>
        <w:t> </w:t>
      </w:r>
      <w:r>
        <w:rPr>
          <w:sz w:val="22"/>
        </w:rPr>
        <w:t>(diesel/peças,</w:t>
      </w:r>
      <w:r>
        <w:rPr>
          <w:spacing w:val="-7"/>
          <w:sz w:val="22"/>
        </w:rPr>
        <w:t> </w:t>
      </w:r>
      <w:r>
        <w:rPr>
          <w:sz w:val="22"/>
        </w:rPr>
        <w:t>entre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outros);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171" w:after="0"/>
        <w:ind w:left="575" w:right="0" w:hanging="228"/>
        <w:jc w:val="left"/>
        <w:rPr>
          <w:sz w:val="22"/>
        </w:rPr>
      </w:pP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z w:val="22"/>
        </w:rPr>
        <w:t>pagamento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dívidas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bancárias.</w:t>
      </w:r>
    </w:p>
    <w:p>
      <w:pPr>
        <w:pStyle w:val="BodyText"/>
        <w:spacing w:line="196" w:lineRule="auto" w:before="209"/>
        <w:ind w:left="198" w:right="888" w:firstLine="149"/>
        <w:jc w:val="both"/>
      </w:pPr>
      <w:r>
        <w:rPr/>
        <w:t>§ 2º A empresa prestadora do serviço de transporte coletivo de passageiros do Município deverá prestar contas da utilização do recurso repassado em até 60 (sessenta) dias contados a partir do recebimento do valor, sob pena da devolução integral do valor recebido, atualizado pelo índice IPCA e acrescido de juros de 1% ao mês.</w:t>
      </w:r>
    </w:p>
    <w:p>
      <w:pPr>
        <w:pStyle w:val="BodyText"/>
        <w:spacing w:before="182"/>
        <w:ind w:left="347"/>
      </w:pPr>
      <w:r>
        <w:rPr/>
        <w:t>Art.</w:t>
      </w:r>
      <w:r>
        <w:rPr>
          <w:spacing w:val="-8"/>
        </w:rPr>
        <w:t> </w:t>
      </w:r>
      <w:r>
        <w:rPr/>
        <w:t>3º</w:t>
      </w:r>
      <w:r>
        <w:rPr>
          <w:spacing w:val="-5"/>
        </w:rPr>
        <w:t> </w:t>
      </w:r>
      <w:r>
        <w:rPr/>
        <w:t>As</w:t>
      </w:r>
      <w:r>
        <w:rPr>
          <w:spacing w:val="-5"/>
        </w:rPr>
        <w:t> </w:t>
      </w:r>
      <w:r>
        <w:rPr/>
        <w:t>despesas</w:t>
      </w:r>
      <w:r>
        <w:rPr>
          <w:spacing w:val="-5"/>
        </w:rPr>
        <w:t> </w:t>
      </w:r>
      <w:r>
        <w:rPr/>
        <w:t>decorrentes</w:t>
      </w:r>
      <w:r>
        <w:rPr>
          <w:spacing w:val="-5"/>
        </w:rPr>
        <w:t> </w:t>
      </w:r>
      <w:r>
        <w:rPr/>
        <w:t>desta</w:t>
      </w:r>
      <w:r>
        <w:rPr>
          <w:spacing w:val="-5"/>
        </w:rPr>
        <w:t> </w:t>
      </w:r>
      <w:r>
        <w:rPr/>
        <w:t>Lei</w:t>
      </w:r>
      <w:r>
        <w:rPr>
          <w:spacing w:val="-6"/>
        </w:rPr>
        <w:t> </w:t>
      </w:r>
      <w:r>
        <w:rPr/>
        <w:t>serão</w:t>
      </w:r>
      <w:r>
        <w:rPr>
          <w:spacing w:val="-5"/>
        </w:rPr>
        <w:t> </w:t>
      </w:r>
      <w:r>
        <w:rPr/>
        <w:t>suportadas</w:t>
      </w:r>
      <w:r>
        <w:rPr>
          <w:spacing w:val="-5"/>
        </w:rPr>
        <w:t> </w:t>
      </w:r>
      <w:r>
        <w:rPr/>
        <w:t>pela</w:t>
      </w:r>
      <w:r>
        <w:rPr>
          <w:spacing w:val="-5"/>
        </w:rPr>
        <w:t> </w:t>
      </w:r>
      <w:r>
        <w:rPr/>
        <w:t>seguinte</w:t>
      </w:r>
      <w:r>
        <w:rPr>
          <w:spacing w:val="-5"/>
        </w:rPr>
        <w:t> </w:t>
      </w:r>
      <w:r>
        <w:rPr/>
        <w:t>dotação</w:t>
      </w:r>
      <w:r>
        <w:rPr>
          <w:spacing w:val="-5"/>
        </w:rPr>
        <w:t> </w:t>
      </w:r>
      <w:r>
        <w:rPr>
          <w:spacing w:val="-2"/>
        </w:rPr>
        <w:t>orçamentária:</w:t>
      </w:r>
    </w:p>
    <w:p>
      <w:pPr>
        <w:pStyle w:val="BodyText"/>
        <w:spacing w:line="244" w:lineRule="exact" w:before="171"/>
        <w:ind w:left="347"/>
      </w:pPr>
      <w:r>
        <w:rPr/>
        <w:t>Órgão:</w:t>
      </w:r>
      <w:r>
        <w:rPr>
          <w:spacing w:val="-5"/>
        </w:rPr>
        <w:t> </w:t>
      </w:r>
      <w:r>
        <w:rPr/>
        <w:t>18</w:t>
      </w:r>
      <w:r>
        <w:rPr>
          <w:spacing w:val="-4"/>
        </w:rPr>
        <w:t> </w:t>
      </w:r>
      <w:r>
        <w:rPr/>
        <w:t>-</w:t>
      </w:r>
      <w:r>
        <w:rPr>
          <w:spacing w:val="-4"/>
        </w:rPr>
        <w:t> </w:t>
      </w:r>
      <w:r>
        <w:rPr/>
        <w:t>SEC.</w:t>
      </w:r>
      <w:r>
        <w:rPr>
          <w:spacing w:val="-4"/>
        </w:rPr>
        <w:t> </w:t>
      </w:r>
      <w:r>
        <w:rPr/>
        <w:t>MUN.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TRÂNSITO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MOBILIDADE</w:t>
      </w:r>
      <w:r>
        <w:rPr>
          <w:spacing w:val="-4"/>
        </w:rPr>
        <w:t> </w:t>
      </w:r>
      <w:r>
        <w:rPr>
          <w:spacing w:val="-2"/>
        </w:rPr>
        <w:t>URBANA</w:t>
      </w:r>
    </w:p>
    <w:p>
      <w:pPr>
        <w:pStyle w:val="BodyText"/>
        <w:spacing w:line="196" w:lineRule="auto" w:before="14"/>
        <w:ind w:left="198" w:right="607" w:firstLine="149"/>
      </w:pPr>
      <w:r>
        <w:rPr/>
        <w:t>Unidade: 02 - MOBILIDADE URBANA Proj./Ativ. 1.006 IMPLANT. CRIAÇÃO , FOMENTO E EXEC.PROJ. PROG. MUNICIPAIS</w:t>
      </w:r>
    </w:p>
    <w:p>
      <w:pPr>
        <w:pStyle w:val="BodyText"/>
        <w:spacing w:line="206" w:lineRule="exact"/>
        <w:ind w:left="347"/>
      </w:pPr>
      <w:r>
        <w:rPr/>
        <w:t>Código</w:t>
      </w:r>
      <w:r>
        <w:rPr>
          <w:spacing w:val="-6"/>
        </w:rPr>
        <w:t> </w:t>
      </w:r>
      <w:r>
        <w:rPr/>
        <w:t>reduzido:</w:t>
      </w:r>
      <w:r>
        <w:rPr>
          <w:spacing w:val="-6"/>
        </w:rPr>
        <w:t> </w:t>
      </w:r>
      <w:r>
        <w:rPr/>
        <w:t>772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SUBVENÇÕES</w:t>
      </w:r>
      <w:r>
        <w:rPr>
          <w:spacing w:val="-5"/>
        </w:rPr>
        <w:t> </w:t>
      </w:r>
      <w:r>
        <w:rPr>
          <w:spacing w:val="-2"/>
        </w:rPr>
        <w:t>ECONÔMICAS</w:t>
      </w:r>
    </w:p>
    <w:p>
      <w:pPr>
        <w:pStyle w:val="BodyText"/>
        <w:spacing w:line="244" w:lineRule="exact"/>
        <w:ind w:left="347"/>
      </w:pPr>
      <w:r>
        <w:rPr/>
        <w:t>Dotação:</w:t>
      </w:r>
      <w:r>
        <w:rPr>
          <w:spacing w:val="-11"/>
        </w:rPr>
        <w:t> </w:t>
      </w:r>
      <w:r>
        <w:rPr/>
        <w:t>3.3.60.45.00.00.00.00</w:t>
      </w:r>
      <w:r>
        <w:rPr>
          <w:spacing w:val="-9"/>
        </w:rPr>
        <w:t> </w:t>
      </w:r>
      <w:r>
        <w:rPr/>
        <w:t>0501</w:t>
      </w:r>
      <w:r>
        <w:rPr>
          <w:spacing w:val="-9"/>
        </w:rPr>
        <w:t> </w:t>
      </w:r>
      <w:r>
        <w:rPr/>
        <w:t>-</w:t>
      </w:r>
      <w:r>
        <w:rPr>
          <w:spacing w:val="-9"/>
        </w:rPr>
        <w:t> </w:t>
      </w:r>
      <w:r>
        <w:rPr/>
        <w:t>SUBVENÇÕES</w:t>
      </w:r>
      <w:r>
        <w:rPr>
          <w:spacing w:val="-8"/>
        </w:rPr>
        <w:t> </w:t>
      </w:r>
      <w:r>
        <w:rPr>
          <w:spacing w:val="-2"/>
        </w:rPr>
        <w:t>ECONÔMICAS</w:t>
      </w:r>
    </w:p>
    <w:p>
      <w:pPr>
        <w:pStyle w:val="BodyText"/>
        <w:spacing w:after="0" w:line="244" w:lineRule="exact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559" w:right="0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4"/>
      </w:pPr>
    </w:p>
    <w:p>
      <w:pPr>
        <w:pStyle w:val="BodyText"/>
        <w:ind w:left="347"/>
      </w:pPr>
      <w:r>
        <w:rPr/>
        <w:t>Art.</w:t>
      </w:r>
      <w:r>
        <w:rPr>
          <w:spacing w:val="-5"/>
        </w:rPr>
        <w:t> </w:t>
      </w:r>
      <w:r>
        <w:rPr/>
        <w:t>4º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3356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394909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10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rPr>
          <w:sz w:val="13"/>
        </w:rPr>
      </w:pPr>
      <w:r>
        <w:rPr>
          <w:sz w:val="13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1044957</wp:posOffset>
            </wp:positionH>
            <wp:positionV relativeFrom="paragraph">
              <wp:posOffset>116420</wp:posOffset>
            </wp:positionV>
            <wp:extent cx="1868571" cy="572643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64"/>
      </w:pPr>
    </w:p>
    <w:p>
      <w:pPr>
        <w:spacing w:line="199" w:lineRule="auto" w:before="0"/>
        <w:ind w:left="2783" w:right="5138" w:firstLine="516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4"/>
        <w:rPr>
          <w:b/>
        </w:rPr>
      </w:pPr>
    </w:p>
    <w:p>
      <w:pPr>
        <w:tabs>
          <w:tab w:pos="6287" w:val="left" w:leader="none"/>
        </w:tabs>
        <w:spacing w:before="0"/>
        <w:ind w:left="198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53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1065276</wp:posOffset>
            </wp:positionH>
            <wp:positionV relativeFrom="paragraph">
              <wp:posOffset>267770</wp:posOffset>
            </wp:positionV>
            <wp:extent cx="1868571" cy="572642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4665610</wp:posOffset>
            </wp:positionH>
            <wp:positionV relativeFrom="paragraph">
              <wp:posOffset>290676</wp:posOffset>
            </wp:positionV>
            <wp:extent cx="1868571" cy="572642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7162" w:val="left" w:leader="none"/>
        </w:tabs>
        <w:spacing w:line="246" w:lineRule="exact" w:before="212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Mariana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Melara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Reis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5074" w:val="left" w:leader="none"/>
        </w:tabs>
        <w:spacing w:line="246" w:lineRule="exact" w:before="0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pgSz w:w="11910" w:h="16840"/>
      <w:pgMar w:header="390" w:footer="624" w:top="2040" w:bottom="820" w:left="1559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408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240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305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356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291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45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4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3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1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03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0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9" w:hanging="10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71"/>
      <w:ind w:left="575" w:hanging="228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2026-03-23T11:26:57Z</dcterms:created>
  <dcterms:modified xsi:type="dcterms:W3CDTF">2026-03-23T11:26:57Z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2026-03-11T00:00:00Z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