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45" w:right="31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5281" w:right="940"/>
        <w:jc w:val="both"/>
      </w:pPr>
      <w:r>
        <w:rPr/>
        <w:t>Altera o art. 1º e o § 1º do art. 9º, e revoga os anexos I</w:t>
      </w:r>
      <w:r>
        <w:rPr>
          <w:spacing w:val="40"/>
        </w:rPr>
        <w:t> </w:t>
      </w:r>
      <w:r>
        <w:rPr/>
        <w:t>e II da Lei nº 2.453, de 15 de maio de 2006, que “Cria</w:t>
      </w:r>
      <w:r>
        <w:rPr>
          <w:spacing w:val="80"/>
        </w:rPr>
        <w:t> </w:t>
      </w:r>
      <w:r>
        <w:rPr/>
        <w:t>as áreas do sistema de estacionamento rotativo controlado no município de Gramado e dá outras </w:t>
      </w:r>
      <w:r>
        <w:rPr>
          <w:spacing w:val="-2"/>
        </w:rPr>
        <w:t>providências”.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spacing w:line="216" w:lineRule="auto"/>
        <w:ind w:left="623" w:right="891" w:firstLine="149"/>
        <w:jc w:val="both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-217771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</w:t>
      </w:r>
      <w:r>
        <w:rPr>
          <w:spacing w:val="80"/>
          <w:w w:val="150"/>
        </w:rPr>
        <w:t> </w:t>
      </w:r>
      <w:r>
        <w:rPr/>
        <w:t>Vereadores aprovou e eu sanciono e promulgo a seguinte lei:</w:t>
      </w:r>
    </w:p>
    <w:p>
      <w:pPr>
        <w:pStyle w:val="BodyText"/>
        <w:spacing w:before="202"/>
        <w:ind w:left="773"/>
      </w:pPr>
      <w:r>
        <w:rPr/>
        <w:t>Art.</w:t>
      </w:r>
      <w:r>
        <w:rPr>
          <w:spacing w:val="-5"/>
        </w:rPr>
        <w:t> </w:t>
      </w:r>
      <w:r>
        <w:rPr/>
        <w:t>1º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art.</w:t>
      </w:r>
      <w:r>
        <w:rPr>
          <w:spacing w:val="-3"/>
        </w:rPr>
        <w:t> </w:t>
      </w:r>
      <w:r>
        <w:rPr/>
        <w:t>1º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2.453,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15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2006,</w:t>
      </w:r>
      <w:r>
        <w:rPr>
          <w:spacing w:val="-3"/>
        </w:rPr>
        <w:t> </w:t>
      </w:r>
      <w:r>
        <w:rPr/>
        <w:t>passa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vigorar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seguinte</w:t>
      </w:r>
      <w:r>
        <w:rPr>
          <w:spacing w:val="-3"/>
        </w:rPr>
        <w:t> </w:t>
      </w:r>
      <w:r>
        <w:rPr>
          <w:spacing w:val="-2"/>
        </w:rPr>
        <w:t>redação:</w:t>
      </w:r>
    </w:p>
    <w:p>
      <w:pPr>
        <w:pStyle w:val="BodyText"/>
        <w:spacing w:line="196" w:lineRule="auto" w:before="199"/>
        <w:ind w:left="623" w:right="891" w:firstLine="135"/>
        <w:jc w:val="both"/>
      </w:pPr>
      <w:r>
        <w:rPr/>
        <w:t>"</w:t>
      </w:r>
      <w:hyperlink r:id="rId8">
        <w:r>
          <w:rPr>
            <w:color w:val="0000FF"/>
            <w:u w:val="single" w:color="0000FF"/>
          </w:rPr>
          <w:t>Art. 1º</w:t>
        </w:r>
      </w:hyperlink>
      <w:r>
        <w:rPr>
          <w:color w:val="0000FF"/>
        </w:rPr>
        <w:t> </w:t>
      </w:r>
      <w:r>
        <w:rPr/>
        <w:t>O Executivo Municipal fica autorizado a instituir as áreas de estacionamento remunerado nas vias públicas, através do Sistema de Estacionamento Rotativo Controlado, assim denominado: Zona Azul: destinada</w:t>
      </w:r>
      <w:r>
        <w:rPr>
          <w:spacing w:val="80"/>
        </w:rPr>
        <w:t> </w:t>
      </w:r>
      <w:r>
        <w:rPr/>
        <w:t>ao estacionamento de veículos de passageiros e veículos de carga com capacidade de até 02 (duas) toneladas.</w:t>
      </w:r>
    </w:p>
    <w:p>
      <w:pPr>
        <w:pStyle w:val="BodyText"/>
        <w:spacing w:before="165"/>
        <w:ind w:left="759"/>
      </w:pPr>
      <w:hyperlink r:id="rId8">
        <w:r>
          <w:rPr>
            <w:color w:val="0000FF"/>
            <w:u w:val="single" w:color="0000FF"/>
          </w:rPr>
          <w:t>Parágrafo</w:t>
        </w:r>
        <w:r>
          <w:rPr>
            <w:color w:val="0000FF"/>
            <w:spacing w:val="-6"/>
            <w:u w:val="single" w:color="0000FF"/>
          </w:rPr>
          <w:t> </w:t>
        </w:r>
        <w:r>
          <w:rPr>
            <w:color w:val="0000FF"/>
            <w:u w:val="single" w:color="0000FF"/>
          </w:rPr>
          <w:t>único.</w:t>
        </w:r>
      </w:hyperlink>
      <w:r>
        <w:rPr>
          <w:color w:val="0000FF"/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Zona</w:t>
      </w:r>
      <w:r>
        <w:rPr>
          <w:spacing w:val="-6"/>
        </w:rPr>
        <w:t> </w:t>
      </w:r>
      <w:r>
        <w:rPr/>
        <w:t>Azul</w:t>
      </w:r>
      <w:r>
        <w:rPr>
          <w:spacing w:val="-6"/>
        </w:rPr>
        <w:t> </w:t>
      </w:r>
      <w:r>
        <w:rPr/>
        <w:t>receberá</w:t>
      </w:r>
      <w:r>
        <w:rPr>
          <w:spacing w:val="-5"/>
        </w:rPr>
        <w:t> </w:t>
      </w:r>
      <w:r>
        <w:rPr/>
        <w:t>sinalização</w:t>
      </w:r>
      <w:r>
        <w:rPr>
          <w:spacing w:val="-6"/>
        </w:rPr>
        <w:t> </w:t>
      </w:r>
      <w:r>
        <w:rPr/>
        <w:t>específica."</w:t>
      </w:r>
      <w:r>
        <w:rPr>
          <w:spacing w:val="-5"/>
        </w:rPr>
        <w:t> </w:t>
      </w:r>
      <w:r>
        <w:rPr>
          <w:spacing w:val="-4"/>
        </w:rPr>
        <w:t>(NR)</w:t>
      </w:r>
    </w:p>
    <w:p>
      <w:pPr>
        <w:pStyle w:val="BodyText"/>
        <w:spacing w:before="156"/>
        <w:ind w:left="759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3"/>
        </w:rPr>
        <w:t> </w:t>
      </w:r>
      <w:r>
        <w:rPr/>
        <w:t>O</w:t>
      </w:r>
      <w:r>
        <w:rPr>
          <w:spacing w:val="-3"/>
        </w:rPr>
        <w:t> </w:t>
      </w:r>
      <w:r>
        <w:rPr/>
        <w:t>§</w:t>
      </w:r>
      <w:r>
        <w:rPr>
          <w:spacing w:val="-3"/>
        </w:rPr>
        <w:t> </w:t>
      </w:r>
      <w:r>
        <w:rPr/>
        <w:t>1º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art.</w:t>
      </w:r>
      <w:r>
        <w:rPr>
          <w:spacing w:val="-3"/>
        </w:rPr>
        <w:t> </w:t>
      </w:r>
      <w:r>
        <w:rPr/>
        <w:t>9º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2.453,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15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2006,</w:t>
      </w:r>
      <w:r>
        <w:rPr>
          <w:spacing w:val="-2"/>
        </w:rPr>
        <w:t> </w:t>
      </w:r>
      <w:r>
        <w:rPr/>
        <w:t>passa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vigorar</w:t>
      </w:r>
      <w:r>
        <w:rPr>
          <w:spacing w:val="-3"/>
        </w:rPr>
        <w:t> </w:t>
      </w:r>
      <w:r>
        <w:rPr/>
        <w:t>com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seguinte</w:t>
      </w:r>
      <w:r>
        <w:rPr>
          <w:spacing w:val="-2"/>
        </w:rPr>
        <w:t> redação:</w:t>
      </w:r>
    </w:p>
    <w:p>
      <w:pPr>
        <w:pStyle w:val="BodyText"/>
        <w:spacing w:before="155"/>
        <w:ind w:left="759"/>
      </w:pPr>
      <w:r>
        <w:rPr>
          <w:b/>
        </w:rPr>
        <w:t>"</w:t>
      </w:r>
      <w:r>
        <w:rPr/>
        <w:t>Art.</w:t>
      </w:r>
      <w:r>
        <w:rPr>
          <w:spacing w:val="-4"/>
        </w:rPr>
        <w:t> </w:t>
      </w:r>
      <w:r>
        <w:rPr/>
        <w:t>9º</w:t>
      </w:r>
      <w:r>
        <w:rPr>
          <w:spacing w:val="-3"/>
        </w:rPr>
        <w:t> </w:t>
      </w:r>
      <w:r>
        <w:rPr>
          <w:spacing w:val="-2"/>
        </w:rPr>
        <w:t>[...]</w:t>
      </w:r>
    </w:p>
    <w:p>
      <w:pPr>
        <w:pStyle w:val="BodyText"/>
        <w:spacing w:line="196" w:lineRule="auto" w:before="191"/>
        <w:ind w:left="623" w:right="889" w:firstLine="135"/>
        <w:jc w:val="both"/>
      </w:pPr>
      <w:r>
        <w:rPr/>
        <w:t>§ </w:t>
      </w:r>
      <w:hyperlink r:id="rId9">
        <w:r>
          <w:rPr>
            <w:color w:val="0000FF"/>
            <w:u w:val="single" w:color="0000FF"/>
          </w:rPr>
          <w:t>1º</w:t>
        </w:r>
      </w:hyperlink>
      <w:r>
        <w:rPr>
          <w:color w:val="0000FF"/>
        </w:rPr>
        <w:t> </w:t>
      </w:r>
      <w:r>
        <w:rPr/>
        <w:t>A Tarifa de Pós Utilização - TPU é a notificação emitida pelo monitor da concessionária do estacionamento rotativo</w:t>
      </w:r>
      <w:r>
        <w:rPr>
          <w:spacing w:val="22"/>
        </w:rPr>
        <w:t> </w:t>
      </w:r>
      <w:r>
        <w:rPr/>
        <w:t>motivada</w:t>
      </w:r>
      <w:r>
        <w:rPr>
          <w:spacing w:val="23"/>
        </w:rPr>
        <w:t> </w:t>
      </w:r>
      <w:r>
        <w:rPr/>
        <w:t>pela</w:t>
      </w:r>
      <w:r>
        <w:rPr>
          <w:spacing w:val="23"/>
        </w:rPr>
        <w:t> </w:t>
      </w:r>
      <w:r>
        <w:rPr/>
        <w:t>ausência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regularização</w:t>
      </w:r>
      <w:r>
        <w:rPr>
          <w:spacing w:val="23"/>
        </w:rPr>
        <w:t> </w:t>
      </w:r>
      <w:r>
        <w:rPr/>
        <w:t>do</w:t>
      </w:r>
      <w:r>
        <w:rPr>
          <w:spacing w:val="23"/>
        </w:rPr>
        <w:t> </w:t>
      </w:r>
      <w:r>
        <w:rPr/>
        <w:t>uso</w:t>
      </w:r>
      <w:r>
        <w:rPr>
          <w:spacing w:val="23"/>
        </w:rPr>
        <w:t> </w:t>
      </w:r>
      <w:r>
        <w:rPr/>
        <w:t>da</w:t>
      </w:r>
      <w:r>
        <w:rPr>
          <w:spacing w:val="23"/>
        </w:rPr>
        <w:t> </w:t>
      </w:r>
      <w:r>
        <w:rPr/>
        <w:t>vaga</w:t>
      </w:r>
      <w:r>
        <w:rPr>
          <w:spacing w:val="23"/>
        </w:rPr>
        <w:t> </w:t>
      </w:r>
      <w:r>
        <w:rPr/>
        <w:t>pública,</w:t>
      </w:r>
      <w:r>
        <w:rPr>
          <w:spacing w:val="22"/>
        </w:rPr>
        <w:t> </w:t>
      </w:r>
      <w:r>
        <w:rPr/>
        <w:t>após</w:t>
      </w:r>
      <w:r>
        <w:rPr>
          <w:spacing w:val="23"/>
        </w:rPr>
        <w:t> </w:t>
      </w:r>
      <w:r>
        <w:rPr/>
        <w:t>decorrido</w:t>
      </w:r>
      <w:r>
        <w:rPr>
          <w:spacing w:val="23"/>
        </w:rPr>
        <w:t> </w:t>
      </w:r>
      <w:r>
        <w:rPr/>
        <w:t>o</w:t>
      </w:r>
      <w:r>
        <w:rPr>
          <w:spacing w:val="23"/>
        </w:rPr>
        <w:t> </w:t>
      </w:r>
      <w:r>
        <w:rPr/>
        <w:t>período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quinze</w:t>
      </w:r>
    </w:p>
    <w:p>
      <w:pPr>
        <w:pStyle w:val="BodyText"/>
        <w:spacing w:line="209" w:lineRule="exact"/>
        <w:ind w:left="623"/>
      </w:pPr>
      <w:r>
        <w:rPr/>
        <w:t>(15)</w:t>
      </w:r>
      <w:r>
        <w:rPr>
          <w:spacing w:val="-8"/>
        </w:rPr>
        <w:t> </w:t>
      </w:r>
      <w:r>
        <w:rPr/>
        <w:t>minutos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tolerância,</w:t>
      </w:r>
      <w:r>
        <w:rPr>
          <w:spacing w:val="-5"/>
        </w:rPr>
        <w:t> </w:t>
      </w:r>
      <w:r>
        <w:rPr/>
        <w:t>contados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partir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estacionamento</w:t>
      </w:r>
      <w:r>
        <w:rPr>
          <w:spacing w:val="-5"/>
        </w:rPr>
        <w:t> </w:t>
      </w:r>
      <w:r>
        <w:rPr/>
        <w:t>do</w:t>
      </w:r>
      <w:r>
        <w:rPr>
          <w:spacing w:val="-5"/>
        </w:rPr>
        <w:t> </w:t>
      </w:r>
      <w:r>
        <w:rPr/>
        <w:t>veículo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via</w:t>
      </w:r>
      <w:r>
        <w:rPr>
          <w:spacing w:val="-5"/>
        </w:rPr>
        <w:t> </w:t>
      </w:r>
      <w:r>
        <w:rPr>
          <w:spacing w:val="-2"/>
        </w:rPr>
        <w:t>pública.</w:t>
      </w:r>
    </w:p>
    <w:p>
      <w:pPr>
        <w:pStyle w:val="BodyText"/>
        <w:spacing w:before="155"/>
        <w:ind w:left="759"/>
      </w:pPr>
      <w:r>
        <w:rPr/>
        <w:t>(…)</w:t>
      </w:r>
      <w:r>
        <w:rPr>
          <w:spacing w:val="-2"/>
        </w:rPr>
        <w:t> </w:t>
      </w:r>
      <w:r>
        <w:rPr/>
        <w:t>"</w:t>
      </w:r>
      <w:r>
        <w:rPr>
          <w:spacing w:val="-2"/>
        </w:rPr>
        <w:t> </w:t>
      </w:r>
      <w:r>
        <w:rPr>
          <w:spacing w:val="-4"/>
        </w:rPr>
        <w:t>(NR)</w:t>
      </w:r>
    </w:p>
    <w:p>
      <w:pPr>
        <w:pStyle w:val="BodyText"/>
        <w:spacing w:before="156"/>
        <w:ind w:left="759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line="196" w:lineRule="auto" w:before="190"/>
        <w:ind w:left="623" w:right="891" w:firstLine="135"/>
        <w:jc w:val="both"/>
      </w:pPr>
      <w:r>
        <w:rPr/>
        <w:t>Art. 4º Ficam revogados o Anexo I (Mapa) e o Anexo II (Ruas que pertencem ao Sistema de Estacionamento Rotativo) da Lei nº 2.453, de 15 de maio de 2006.</w:t>
      </w: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ind w:right="313"/>
        <w:jc w:val="center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767865</wp:posOffset>
            </wp:positionH>
            <wp:positionV relativeFrom="paragraph">
              <wp:posOffset>15290</wp:posOffset>
            </wp:positionV>
            <wp:extent cx="1845733" cy="56564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spacing w:line="220" w:lineRule="auto" w:before="0"/>
        <w:ind w:left="3290" w:right="5354" w:firstLine="394"/>
        <w:jc w:val="left"/>
        <w:rPr>
          <w:b/>
          <w:sz w:val="20"/>
        </w:rPr>
      </w:pPr>
      <w:r>
        <w:rPr>
          <w:b/>
          <w:sz w:val="20"/>
        </w:rPr>
        <w:t>Nestor Tissot Prefeito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109"/>
        <w:rPr>
          <w:b/>
        </w:rPr>
      </w:pPr>
    </w:p>
    <w:p>
      <w:pPr>
        <w:tabs>
          <w:tab w:pos="5949" w:val="left" w:leader="none"/>
        </w:tabs>
        <w:spacing w:before="0"/>
        <w:ind w:left="623" w:right="0" w:firstLine="0"/>
        <w:jc w:val="left"/>
        <w:rPr>
          <w:b/>
          <w:sz w:val="20"/>
        </w:rPr>
      </w:pPr>
      <w:r>
        <w:rPr>
          <w:b/>
          <w:spacing w:val="-2"/>
          <w:sz w:val="20"/>
        </w:rPr>
        <w:t>Ciente.</w:t>
      </w:r>
      <w:r>
        <w:rPr>
          <w:b/>
          <w:sz w:val="20"/>
        </w:rPr>
        <w:tab/>
        <w:t>Registre-se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e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Publique-</w:t>
      </w:r>
      <w:r>
        <w:rPr>
          <w:b/>
          <w:spacing w:val="-5"/>
          <w:sz w:val="20"/>
        </w:rPr>
        <w:t>se.</w:t>
      </w:r>
    </w:p>
    <w:p>
      <w:pPr>
        <w:pStyle w:val="BodyText"/>
        <w:spacing w:before="6"/>
        <w:rPr>
          <w:b/>
          <w:sz w:val="9"/>
        </w:rPr>
      </w:pPr>
      <w:r>
        <w:rPr>
          <w:b/>
          <w:sz w:val="9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992123</wp:posOffset>
            </wp:positionH>
            <wp:positionV relativeFrom="paragraph">
              <wp:posOffset>149773</wp:posOffset>
            </wp:positionV>
            <wp:extent cx="1816666" cy="556736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666" cy="556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9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4702556</wp:posOffset>
            </wp:positionH>
            <wp:positionV relativeFrom="paragraph">
              <wp:posOffset>88813</wp:posOffset>
            </wp:positionV>
            <wp:extent cx="1868571" cy="572643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9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133" w:right="0"/>
          <w:pgNumType w:start="1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10"/>
        <w:rPr>
          <w:b/>
        </w:rPr>
      </w:pPr>
    </w:p>
    <w:p>
      <w:pPr>
        <w:tabs>
          <w:tab w:pos="5479" w:val="left" w:leader="none"/>
        </w:tabs>
        <w:spacing w:line="234" w:lineRule="exact" w:before="1"/>
        <w:ind w:left="623" w:right="0" w:firstLine="0"/>
        <w:jc w:val="left"/>
        <w:rPr>
          <w:b/>
          <w:sz w:val="20"/>
        </w:rPr>
      </w:pPr>
      <w:r>
        <w:rPr>
          <w:b/>
          <w:sz w:val="20"/>
        </w:rPr>
        <w:t>Mariana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Melara</w:t>
      </w:r>
      <w:r>
        <w:rPr>
          <w:b/>
          <w:spacing w:val="-6"/>
          <w:sz w:val="20"/>
        </w:rPr>
        <w:t> </w:t>
      </w:r>
      <w:r>
        <w:rPr>
          <w:b/>
          <w:spacing w:val="-4"/>
          <w:sz w:val="20"/>
        </w:rPr>
        <w:t>Reis</w:t>
      </w:r>
      <w:r>
        <w:rPr>
          <w:b/>
          <w:sz w:val="20"/>
        </w:rPr>
        <w:tab/>
        <w:t>Débora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Brantes</w:t>
      </w:r>
    </w:p>
    <w:p>
      <w:pPr>
        <w:tabs>
          <w:tab w:pos="5498" w:val="left" w:leader="none"/>
        </w:tabs>
        <w:spacing w:line="234" w:lineRule="exact" w:before="0"/>
        <w:ind w:left="623" w:right="0" w:firstLine="0"/>
        <w:jc w:val="left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1174672</wp:posOffset>
            </wp:positionV>
            <wp:extent cx="342900" cy="361604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Procuradora-Geral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9"/>
          <w:sz w:val="20"/>
        </w:rPr>
        <w:t> </w:t>
      </w:r>
      <w:r>
        <w:rPr>
          <w:b/>
          <w:spacing w:val="-2"/>
          <w:sz w:val="20"/>
        </w:rPr>
        <w:t>Município</w:t>
      </w:r>
      <w:r>
        <w:rPr>
          <w:b/>
          <w:sz w:val="20"/>
        </w:rPr>
        <w:tab/>
        <w:t>Secretária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Municipal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13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3715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932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3612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7984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hyperlink" Target="https://gramado.atende.net/recurso/texto-juridico/texto/16811#art1" TargetMode="External"/><Relationship Id="rId9" Type="http://schemas.openxmlformats.org/officeDocument/2006/relationships/hyperlink" Target="https://gramado.atende.net/recurso/texto-juridico/texto/16811#art9_par1" TargetMode="External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2026-03-23T11:26:09Z</dcterms:created>
  <dcterms:modified xsi:type="dcterms:W3CDTF">2026-03-23T11:26:09Z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