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pStyle w:val="Heading1"/>
      </w:pP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3"/>
        </w:rPr>
        <w:t> </w:t>
      </w:r>
      <w:r>
        <w:rPr/>
        <w:t>4512,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27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5422" w:right="940"/>
        <w:jc w:val="both"/>
      </w:pPr>
      <w:r>
        <w:rPr/>
        <w:t>Altera a delimitação da Rua Edio Kny,</w:t>
      </w:r>
      <w:r>
        <w:rPr>
          <w:spacing w:val="80"/>
          <w:w w:val="150"/>
        </w:rPr>
        <w:t> </w:t>
      </w:r>
      <w:r>
        <w:rPr/>
        <w:t>denominada pela Lei n° 3.208/2013, e dá outras </w:t>
      </w:r>
      <w:r>
        <w:rPr>
          <w:spacing w:val="-2"/>
        </w:rPr>
        <w:t>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765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-4900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before="4"/>
      </w:pPr>
    </w:p>
    <w:p>
      <w:pPr>
        <w:pStyle w:val="BodyText"/>
        <w:spacing w:line="194" w:lineRule="auto"/>
        <w:ind w:left="765" w:right="889" w:firstLine="149"/>
        <w:jc w:val="both"/>
      </w:pPr>
      <w:r>
        <w:rPr/>
        <w:t>Art. 1º A Rua Edio Kny, instituída pela Lei nº 3.208, de 10 de dezembro de 2013, passa a ter a</w:t>
      </w:r>
      <w:r>
        <w:rPr>
          <w:spacing w:val="80"/>
        </w:rPr>
        <w:t> </w:t>
      </w:r>
      <w:r>
        <w:rPr/>
        <w:t>seguinte descrição e delimitação:</w:t>
      </w:r>
    </w:p>
    <w:p>
      <w:pPr>
        <w:pStyle w:val="ListParagraph"/>
        <w:numPr>
          <w:ilvl w:val="0"/>
          <w:numId w:val="1"/>
        </w:numPr>
        <w:tabs>
          <w:tab w:pos="1071" w:val="left" w:leader="none"/>
        </w:tabs>
        <w:spacing w:line="196" w:lineRule="auto" w:before="220" w:after="0"/>
        <w:ind w:left="765" w:right="889" w:firstLine="149"/>
        <w:jc w:val="both"/>
        <w:rPr>
          <w:sz w:val="22"/>
        </w:rPr>
      </w:pPr>
      <w:r>
        <w:rPr>
          <w:sz w:val="22"/>
        </w:rPr>
        <w:t>– denomina-se Rua Edio Kny a via pública localizada no Bairro Várzea Grande, com início na interseção com a Rua Miguel Tissot, seguindo em direção leste até o seu ponto final, na confluência com a via atualmente identificada no cadastro municipal como logradouro nº 0457;</w:t>
      </w:r>
    </w:p>
    <w:p>
      <w:pPr>
        <w:pStyle w:val="ListParagraph"/>
        <w:numPr>
          <w:ilvl w:val="0"/>
          <w:numId w:val="1"/>
        </w:numPr>
        <w:tabs>
          <w:tab w:pos="1135" w:val="left" w:leader="none"/>
        </w:tabs>
        <w:spacing w:line="196" w:lineRule="auto" w:before="220" w:after="0"/>
        <w:ind w:left="765" w:right="888" w:firstLine="149"/>
        <w:jc w:val="both"/>
        <w:rPr>
          <w:sz w:val="22"/>
        </w:rPr>
      </w:pPr>
      <w:r>
        <w:rPr>
          <w:sz w:val="22"/>
        </w:rPr>
        <w:t>– a extensão oficial da Rua Edio Kny, para fins de cadastro imobiliário, numeração predial, prestação de serviços públicos e demais registros administrativos municipais, corresponde ao trecho descrito no inciso I deste artigo;</w:t>
      </w:r>
    </w:p>
    <w:p>
      <w:pPr>
        <w:pStyle w:val="ListParagraph"/>
        <w:numPr>
          <w:ilvl w:val="0"/>
          <w:numId w:val="1"/>
        </w:numPr>
        <w:tabs>
          <w:tab w:pos="1131" w:val="left" w:leader="none"/>
        </w:tabs>
        <w:spacing w:line="196" w:lineRule="auto" w:before="219" w:after="0"/>
        <w:ind w:left="765" w:right="887" w:firstLine="149"/>
        <w:jc w:val="both"/>
        <w:rPr>
          <w:sz w:val="22"/>
        </w:rPr>
      </w:pPr>
      <w:r>
        <w:rPr>
          <w:sz w:val="22"/>
        </w:rPr>
        <w:t>– ficam mantidos o nome, a natureza jurídica de via pública e as demais características da Rua Edio Kny, alterando-se, exclusivamente, a sua delimitação e extensão oficial, na forma desta Lei.</w:t>
      </w:r>
    </w:p>
    <w:p>
      <w:pPr>
        <w:pStyle w:val="BodyText"/>
        <w:spacing w:line="196" w:lineRule="auto" w:before="219"/>
        <w:ind w:left="765" w:right="891" w:firstLine="149"/>
        <w:jc w:val="both"/>
      </w:pPr>
      <w:r>
        <w:rPr/>
        <w:t>Art. 2º O Poder Executivo promoverá, no prazo máximo de 180 (cento e oitenta) dias, a atualização</w:t>
      </w:r>
      <w:r>
        <w:rPr>
          <w:spacing w:val="40"/>
        </w:rPr>
        <w:t> </w:t>
      </w:r>
      <w:r>
        <w:rPr/>
        <w:t>de todos os registros, cadastros, plantas e demais documentos oficiais que contenham a descrição da Rua Edio Kny, de modo a adequá-los ao disposto nesta Lei.</w:t>
      </w:r>
    </w:p>
    <w:p>
      <w:pPr>
        <w:pStyle w:val="BodyText"/>
        <w:spacing w:before="182"/>
        <w:ind w:left="914"/>
      </w:pPr>
      <w:r>
        <w:rPr/>
        <w:t>Parágrafo</w:t>
      </w:r>
      <w:r>
        <w:rPr>
          <w:spacing w:val="-6"/>
        </w:rPr>
        <w:t> </w:t>
      </w:r>
      <w:r>
        <w:rPr/>
        <w:t>único.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atualização</w:t>
      </w:r>
      <w:r>
        <w:rPr>
          <w:spacing w:val="-6"/>
        </w:rPr>
        <w:t> </w:t>
      </w:r>
      <w:r>
        <w:rPr/>
        <w:t>referida</w:t>
      </w:r>
      <w:r>
        <w:rPr>
          <w:spacing w:val="-6"/>
        </w:rPr>
        <w:t> </w:t>
      </w:r>
      <w:r>
        <w:rPr/>
        <w:t>no</w:t>
      </w:r>
      <w:r>
        <w:rPr>
          <w:spacing w:val="-5"/>
        </w:rPr>
        <w:t> </w:t>
      </w:r>
      <w:r>
        <w:rPr>
          <w:i/>
        </w:rPr>
        <w:t>caput</w:t>
      </w:r>
      <w:r>
        <w:rPr>
          <w:i/>
          <w:spacing w:val="-5"/>
        </w:rPr>
        <w:t> </w:t>
      </w:r>
      <w:r>
        <w:rPr/>
        <w:t>abrangerá,</w:t>
      </w:r>
      <w:r>
        <w:rPr>
          <w:spacing w:val="-5"/>
        </w:rPr>
        <w:t> </w:t>
      </w:r>
      <w:r>
        <w:rPr>
          <w:spacing w:val="-2"/>
        </w:rPr>
        <w:t>especialmente:</w:t>
      </w:r>
    </w:p>
    <w:p>
      <w:pPr>
        <w:pStyle w:val="ListParagraph"/>
        <w:numPr>
          <w:ilvl w:val="0"/>
          <w:numId w:val="2"/>
        </w:numPr>
        <w:tabs>
          <w:tab w:pos="1018" w:val="left" w:leader="none"/>
        </w:tabs>
        <w:spacing w:line="240" w:lineRule="auto" w:before="172" w:after="0"/>
        <w:ind w:left="1018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cadastro</w:t>
      </w:r>
      <w:r>
        <w:rPr>
          <w:spacing w:val="-5"/>
          <w:sz w:val="22"/>
        </w:rPr>
        <w:t> </w:t>
      </w:r>
      <w:r>
        <w:rPr>
          <w:sz w:val="22"/>
        </w:rPr>
        <w:t>imobiliário</w:t>
      </w:r>
      <w:r>
        <w:rPr>
          <w:spacing w:val="-4"/>
          <w:sz w:val="22"/>
        </w:rPr>
        <w:t> </w:t>
      </w:r>
      <w:r>
        <w:rPr>
          <w:sz w:val="22"/>
        </w:rPr>
        <w:t>municipal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sistema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numeração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predial;</w:t>
      </w:r>
    </w:p>
    <w:p>
      <w:pPr>
        <w:pStyle w:val="ListParagraph"/>
        <w:numPr>
          <w:ilvl w:val="0"/>
          <w:numId w:val="2"/>
        </w:numPr>
        <w:tabs>
          <w:tab w:pos="1072" w:val="left" w:leader="none"/>
        </w:tabs>
        <w:spacing w:line="240" w:lineRule="auto" w:before="171" w:after="0"/>
        <w:ind w:left="1072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> </w:t>
      </w:r>
      <w:r>
        <w:rPr>
          <w:sz w:val="22"/>
        </w:rPr>
        <w:t>as</w:t>
      </w:r>
      <w:r>
        <w:rPr>
          <w:spacing w:val="-4"/>
          <w:sz w:val="22"/>
        </w:rPr>
        <w:t> </w:t>
      </w:r>
      <w:r>
        <w:rPr>
          <w:sz w:val="22"/>
        </w:rPr>
        <w:t>plantas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mapas</w:t>
      </w:r>
      <w:r>
        <w:rPr>
          <w:spacing w:val="-4"/>
          <w:sz w:val="22"/>
        </w:rPr>
        <w:t> </w:t>
      </w:r>
      <w:r>
        <w:rPr>
          <w:sz w:val="22"/>
        </w:rPr>
        <w:t>oficiais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Município;</w:t>
      </w:r>
    </w:p>
    <w:p>
      <w:pPr>
        <w:pStyle w:val="ListParagraph"/>
        <w:numPr>
          <w:ilvl w:val="0"/>
          <w:numId w:val="2"/>
        </w:numPr>
        <w:tabs>
          <w:tab w:pos="1181" w:val="left" w:leader="none"/>
        </w:tabs>
        <w:spacing w:line="196" w:lineRule="auto" w:before="209" w:after="0"/>
        <w:ind w:left="765" w:right="890" w:firstLine="149"/>
        <w:jc w:val="both"/>
        <w:rPr>
          <w:sz w:val="22"/>
        </w:rPr>
      </w:pPr>
      <w:r>
        <w:rPr>
          <w:sz w:val="22"/>
        </w:rPr>
        <w:t>– os sistemas de georreferenciamento e demais bases cartográficas sob responsabilidade do </w:t>
      </w:r>
      <w:r>
        <w:rPr>
          <w:spacing w:val="-2"/>
          <w:sz w:val="22"/>
        </w:rPr>
        <w:t>Município;</w:t>
      </w:r>
    </w:p>
    <w:p>
      <w:pPr>
        <w:pStyle w:val="ListParagraph"/>
        <w:numPr>
          <w:ilvl w:val="0"/>
          <w:numId w:val="2"/>
        </w:numPr>
        <w:tabs>
          <w:tab w:pos="1149" w:val="left" w:leader="none"/>
        </w:tabs>
        <w:spacing w:line="196" w:lineRule="auto" w:before="220" w:after="0"/>
        <w:ind w:left="765" w:right="888" w:firstLine="149"/>
        <w:jc w:val="both"/>
        <w:rPr>
          <w:sz w:val="22"/>
        </w:rPr>
      </w:pPr>
      <w:r>
        <w:rPr>
          <w:sz w:val="22"/>
        </w:rPr>
        <w:t>– a comunicação formal aos órgãos e concessionárias responsáveis pelos serviços de água, energia elétrica, telefonia, coleta de resíduos, correios e demais serviços públicos ou de interesse público que utilizem o endereço da via para fins de atendimento à população.</w:t>
      </w:r>
    </w:p>
    <w:p>
      <w:pPr>
        <w:pStyle w:val="BodyText"/>
        <w:spacing w:line="196" w:lineRule="auto" w:before="219"/>
        <w:ind w:left="765" w:right="889" w:firstLine="149"/>
        <w:jc w:val="both"/>
      </w:pPr>
      <w:r>
        <w:rPr/>
        <w:t>Art. 3º O Poder Executivo poderá promover campanha de orientação e esclarecimento à população residente e aos estabelecimentos localizados na Rua Edio Kny, a fim de informar sobre a nova delimitação da via e eventuais ajustes de numeração predial, quando necessários.</w:t>
      </w:r>
    </w:p>
    <w:p>
      <w:pPr>
        <w:pStyle w:val="BodyText"/>
        <w:spacing w:line="196" w:lineRule="auto" w:before="219"/>
        <w:ind w:left="765" w:right="889" w:firstLine="149"/>
        <w:jc w:val="both"/>
      </w:pPr>
      <w:r>
        <w:rPr/>
        <w:t>Parágrafo único. A campanha de que trata o </w:t>
      </w:r>
      <w:r>
        <w:rPr>
          <w:i/>
        </w:rPr>
        <w:t>caput </w:t>
      </w:r>
      <w:r>
        <w:rPr/>
        <w:t>poderá compreender o envio de comunicados aos moradores e proprietários, a divulgação nos meios oficiais do Município e outras ações informativas julgadas adequadas.</w:t>
      </w:r>
    </w:p>
    <w:p>
      <w:pPr>
        <w:pStyle w:val="BodyText"/>
        <w:spacing w:line="196" w:lineRule="auto" w:before="220"/>
        <w:ind w:left="765" w:right="888" w:firstLine="149"/>
        <w:jc w:val="both"/>
      </w:pPr>
      <w:r>
        <w:rPr/>
        <w:t>Art. 4º Fica o Poder Executivo autorizado a adotar as medidas administrativas necessárias à efetiva implementação desta Lei, inclusive a substituição ou instalação de placas de identificação da via, quando couber.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992" w:right="0"/>
          <w:pgNumType w:start="1"/>
        </w:sectPr>
      </w:pPr>
    </w:p>
    <w:p>
      <w:pPr>
        <w:pStyle w:val="BodyText"/>
      </w:pPr>
    </w:p>
    <w:p>
      <w:pPr>
        <w:pStyle w:val="BodyText"/>
        <w:spacing w:before="215"/>
      </w:pPr>
    </w:p>
    <w:p>
      <w:pPr>
        <w:pStyle w:val="BodyText"/>
        <w:spacing w:line="196" w:lineRule="auto" w:before="1"/>
        <w:ind w:left="765" w:right="171" w:firstLine="149"/>
      </w:pPr>
      <w:r>
        <w:rPr/>
        <w:t>Art. 5º As despesas decorrentes da execução desta Lei correrão por conta de dotações orçamentárias próprias, suplementadas se necessário.</w:t>
      </w:r>
    </w:p>
    <w:p>
      <w:pPr>
        <w:pStyle w:val="BodyText"/>
        <w:spacing w:before="232"/>
        <w:ind w:left="914"/>
      </w:pPr>
      <w:r>
        <w:rPr/>
        <w:t>Art.</w:t>
      </w:r>
      <w:r>
        <w:rPr>
          <w:spacing w:val="-5"/>
        </w:rPr>
        <w:t> </w:t>
      </w:r>
      <w:r>
        <w:rPr/>
        <w:t>6º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ind w:right="177"/>
        <w:jc w:val="center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783747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27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spacing w:before="11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675502</wp:posOffset>
            </wp:positionH>
            <wp:positionV relativeFrom="paragraph">
              <wp:posOffset>153999</wp:posOffset>
            </wp:positionV>
            <wp:extent cx="1839212" cy="556736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9212" cy="556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spacing w:line="199" w:lineRule="auto"/>
        <w:ind w:left="3400" w:right="5149" w:firstLine="455"/>
      </w:pPr>
      <w:r>
        <w:rPr/>
        <w:t>Nestor Tissot Prefeito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23"/>
        <w:rPr>
          <w:b/>
        </w:rPr>
      </w:pPr>
    </w:p>
    <w:p>
      <w:pPr>
        <w:tabs>
          <w:tab w:pos="6854" w:val="left" w:leader="none"/>
        </w:tabs>
        <w:spacing w:before="0"/>
        <w:ind w:left="765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6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983996</wp:posOffset>
            </wp:positionH>
            <wp:positionV relativeFrom="paragraph">
              <wp:posOffset>275840</wp:posOffset>
            </wp:positionV>
            <wp:extent cx="1868571" cy="572642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4600955</wp:posOffset>
            </wp:positionH>
            <wp:positionV relativeFrom="paragraph">
              <wp:posOffset>328488</wp:posOffset>
            </wp:positionV>
            <wp:extent cx="1868571" cy="572642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799" w:val="left" w:leader="none"/>
        </w:tabs>
        <w:spacing w:line="246" w:lineRule="exact" w:before="128"/>
        <w:ind w:left="765" w:right="0" w:firstLine="0"/>
        <w:jc w:val="left"/>
        <w:rPr>
          <w:b/>
          <w:sz w:val="22"/>
        </w:rPr>
      </w:pPr>
      <w:r>
        <w:rPr>
          <w:b/>
          <w:sz w:val="22"/>
        </w:rPr>
        <w:t>Nicole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Todescato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5673" w:val="left" w:leader="none"/>
        </w:tabs>
        <w:spacing w:line="246" w:lineRule="exact" w:before="0"/>
        <w:ind w:left="765" w:right="0" w:firstLine="0"/>
        <w:jc w:val="left"/>
        <w:rPr>
          <w:b/>
          <w:sz w:val="22"/>
        </w:rPr>
      </w:pPr>
      <w:r>
        <w:rPr>
          <w:b/>
          <w:sz w:val="22"/>
        </w:rPr>
        <w:t>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pgSz w:w="11910" w:h="16840"/>
      <w:pgMar w:header="390" w:footer="624" w:top="2040" w:bottom="820" w:left="992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0352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5104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5616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0864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upperRoman"/>
      <w:lvlText w:val="%1"/>
      <w:lvlJc w:val="left"/>
      <w:pPr>
        <w:ind w:left="1019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009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998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988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977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966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956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945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934" w:hanging="105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765" w:hanging="159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75" w:hanging="15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90" w:hanging="15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06" w:hanging="15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21" w:hanging="15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36" w:hanging="15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852" w:hanging="15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867" w:hanging="15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82" w:hanging="159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9" w:right="177"/>
      <w:jc w:val="center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line="246" w:lineRule="exact"/>
      <w:ind w:left="765"/>
      <w:outlineLvl w:val="2"/>
    </w:pPr>
    <w:rPr>
      <w:rFonts w:ascii="Calibri" w:hAnsi="Calibri" w:eastAsia="Calibri" w:cs="Calibri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220"/>
      <w:ind w:left="765" w:firstLine="149"/>
      <w:jc w:val="both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2026-04-06T14:25:06Z</dcterms:created>
  <dcterms:modified xsi:type="dcterms:W3CDTF">2026-04-06T14:25:06Z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2026-04-06T00:00:00Z</vt:filetime>
  </property>
  <property fmtid="{D5CDD505-2E9C-101B-9397-08002B2CF9AE}" pid="5" name="Producer">
    <vt:lpwstr>Bry Signer PDF 2.3.1</vt:lpwstr>
  </property>
</Properties>
</file>