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0"/>
        <w:jc w:val="center"/>
        <w:rPr/>
      </w:pPr>
      <w:r>
        <w:rPr>
          <w:b/>
          <w:bCs/>
          <w:sz w:val="24"/>
          <w:szCs w:val="24"/>
        </w:rPr>
        <w:t>Autógrafo 022/2026 ao PLO 022/2026</w:t>
      </w:r>
    </w:p>
    <w:p>
      <w:pPr>
        <w:pStyle w:val="Default"/>
        <w:widowControl w:val="false"/>
        <w:numPr>
          <w:ilvl w:val="0"/>
          <w:numId w:val="0"/>
        </w:numPr>
        <w:shd w:val="clear" w:color="auto" w:fill="FFFFFF"/>
        <w:suppressAutoHyphens w:val="true"/>
        <w:bidi w:val="0"/>
        <w:spacing w:before="300" w:after="150"/>
        <w:ind w:left="5272" w:right="0" w:hanging="0"/>
        <w:jc w:val="both"/>
        <w:rPr>
          <w:rStyle w:val="Fontepargpadro"/>
          <w:b/>
          <w:bCs/>
          <w:i w:val="false"/>
          <w:i w:val="false"/>
          <w:color w:val="000000"/>
          <w:sz w:val="24"/>
          <w:szCs w:val="24"/>
        </w:rPr>
      </w:pPr>
      <w:r>
        <w:rPr>
          <w:b/>
          <w:bCs/>
          <w:i w:val="false"/>
          <w:color w:val="000000"/>
          <w:sz w:val="24"/>
          <w:szCs w:val="24"/>
        </w:rPr>
      </w:r>
    </w:p>
    <w:p>
      <w:pPr>
        <w:pStyle w:val="Normal"/>
        <w:widowControl w:val="false"/>
        <w:numPr>
          <w:ilvl w:val="0"/>
          <w:numId w:val="0"/>
        </w:numPr>
        <w:shd w:val="clear" w:color="auto" w:fill="FFFFFF"/>
        <w:suppressAutoHyphens w:val="true"/>
        <w:bidi w:val="0"/>
        <w:spacing w:before="300" w:after="150"/>
        <w:ind w:left="5272" w:right="0" w:hanging="0"/>
        <w:jc w:val="both"/>
        <w:rPr/>
      </w:pPr>
      <w:r>
        <w:rPr>
          <w:sz w:val="22"/>
        </w:rPr>
        <w:t xml:space="preserve">Altera a Lei nº 4.296, de 26 de março de 2024, para incluir o Fundo Municipal de Fomento à Inovação de Gramado(FMFI) entre os objetivos da Política Municipal e dá outras providências. </w:t>
      </w:r>
    </w:p>
    <w:p>
      <w:pPr>
        <w:pStyle w:val="Normal"/>
        <w:widowControl w:val="false"/>
        <w:numPr>
          <w:ilvl w:val="0"/>
          <w:numId w:val="0"/>
        </w:numPr>
        <w:shd w:val="clear" w:color="auto" w:fill="FFFFFF"/>
        <w:suppressAutoHyphens w:val="true"/>
        <w:bidi w:val="0"/>
        <w:spacing w:before="300" w:after="150"/>
        <w:ind w:left="5272" w:right="0" w:hanging="0"/>
        <w:jc w:val="both"/>
        <w:rPr>
          <w:sz w:val="24"/>
          <w:szCs w:val="24"/>
        </w:rPr>
      </w:pPr>
      <w:r>
        <w:rPr>
          <w:sz w:val="24"/>
          <w:szCs w:val="24"/>
        </w:rPr>
      </w:r>
    </w:p>
    <w:p>
      <w:pPr>
        <w:pStyle w:val="Default"/>
        <w:jc w:val="both"/>
        <w:rPr/>
      </w:pPr>
      <w:r>
        <w:rPr>
          <w:sz w:val="24"/>
          <w:szCs w:val="24"/>
        </w:rPr>
        <w:tab/>
      </w:r>
    </w:p>
    <w:p>
      <w:pPr>
        <w:pStyle w:val="Default"/>
        <w:jc w:val="both"/>
        <w:rPr/>
      </w:pPr>
      <w:r>
        <w:rPr>
          <w:sz w:val="22"/>
        </w:rPr>
        <w:t>Art. 1º Inclui o inciso IV do art. 4º da Lei nº 4.296, de 26 de março de 2024, passando a vigorar com aseguinte redação:</w:t>
      </w:r>
    </w:p>
    <w:p>
      <w:pPr>
        <w:pStyle w:val="Default"/>
        <w:jc w:val="both"/>
        <w:rPr/>
      </w:pPr>
      <w:r>
        <w:rPr>
          <w:strike w:val="false"/>
          <w:dstrike w:val="false"/>
          <w:sz w:val="22"/>
          <w:u w:val="none"/>
        </w:rPr>
        <w:tab/>
      </w:r>
    </w:p>
    <w:p>
      <w:pPr>
        <w:pStyle w:val="Default"/>
        <w:jc w:val="both"/>
        <w:rPr/>
      </w:pPr>
      <w:r>
        <w:rPr>
          <w:strike w:val="false"/>
          <w:dstrike w:val="false"/>
          <w:sz w:val="22"/>
          <w:u w:val="none"/>
        </w:rPr>
        <w:t xml:space="preserve">"Art. 4º (...) </w:t>
      </w:r>
    </w:p>
    <w:p>
      <w:pPr>
        <w:pStyle w:val="Default"/>
        <w:jc w:val="both"/>
        <w:rPr/>
      </w:pPr>
      <w:r>
        <w:rPr>
          <w:strike w:val="false"/>
          <w:dstrike w:val="false"/>
          <w:sz w:val="22"/>
          <w:u w:val="none"/>
        </w:rPr>
        <w:t xml:space="preserve">(...) </w:t>
      </w:r>
    </w:p>
    <w:p>
      <w:pPr>
        <w:pStyle w:val="Default"/>
        <w:jc w:val="both"/>
        <w:rPr>
          <w:strike w:val="false"/>
          <w:dstrike w:val="false"/>
          <w:sz w:val="22"/>
          <w:u w:val="none"/>
        </w:rPr>
      </w:pPr>
      <w:r>
        <w:rPr>
          <w:strike w:val="false"/>
          <w:dstrike w:val="false"/>
          <w:sz w:val="22"/>
          <w:u w:val="none"/>
        </w:rPr>
      </w:r>
    </w:p>
    <w:p>
      <w:pPr>
        <w:pStyle w:val="Default"/>
        <w:jc w:val="both"/>
        <w:rPr/>
      </w:pPr>
      <w:r>
        <w:rPr>
          <w:strike w:val="false"/>
          <w:dstrike w:val="false"/>
          <w:sz w:val="22"/>
          <w:u w:val="none"/>
        </w:rPr>
        <w:t xml:space="preserve">IV- o Fundo Municipal de Fomento à Inovação de Gramado (FMFI).” (NR) </w:t>
      </w:r>
    </w:p>
    <w:p>
      <w:pPr>
        <w:pStyle w:val="Default"/>
        <w:jc w:val="both"/>
        <w:rPr/>
      </w:pPr>
      <w:r>
        <w:rPr/>
      </w:r>
    </w:p>
    <w:p>
      <w:pPr>
        <w:pStyle w:val="Default"/>
        <w:jc w:val="both"/>
        <w:rPr/>
      </w:pPr>
      <w:r>
        <w:rPr>
          <w:strike w:val="false"/>
          <w:dstrike w:val="false"/>
          <w:sz w:val="22"/>
          <w:u w:val="none"/>
        </w:rPr>
        <w:t xml:space="preserve">Art. 2º O Capítulo V da Lei nº 4.296, de 26 de março de 2024, passa a vigorar com a seguinte redação: </w:t>
      </w:r>
    </w:p>
    <w:p>
      <w:pPr>
        <w:pStyle w:val="Default"/>
        <w:jc w:val="both"/>
        <w:rPr>
          <w:strike w:val="false"/>
          <w:dstrike w:val="false"/>
          <w:sz w:val="22"/>
          <w:u w:val="none"/>
        </w:rPr>
      </w:pPr>
      <w:r>
        <w:rPr>
          <w:strike w:val="false"/>
          <w:dstrike w:val="false"/>
          <w:sz w:val="22"/>
          <w:u w:val="none"/>
        </w:rPr>
      </w:r>
    </w:p>
    <w:p>
      <w:pPr>
        <w:pStyle w:val="Default"/>
        <w:jc w:val="both"/>
        <w:rPr/>
      </w:pPr>
      <w:r>
        <w:rPr>
          <w:strike w:val="false"/>
          <w:dstrike w:val="false"/>
          <w:sz w:val="22"/>
          <w:u w:val="none"/>
        </w:rPr>
        <w:t>“</w:t>
      </w:r>
      <w:r>
        <w:rPr>
          <w:strike w:val="false"/>
          <w:dstrike w:val="false"/>
          <w:sz w:val="22"/>
          <w:u w:val="none"/>
        </w:rPr>
        <w:t>CAPÍTULO V</w:t>
      </w:r>
    </w:p>
    <w:p>
      <w:pPr>
        <w:pStyle w:val="Default"/>
        <w:jc w:val="both"/>
        <w:rPr/>
      </w:pPr>
      <w:r>
        <w:rPr>
          <w:strike w:val="false"/>
          <w:dstrike w:val="false"/>
          <w:sz w:val="22"/>
          <w:u w:val="none"/>
        </w:rPr>
        <w:t>DO PROGRAMA MUNICIPAL DE INCENTIVO (PICTI) E DO FUNDO MUNICIPAL DEFOMENTO À INOVAÇÃO (FMFI)</w:t>
      </w:r>
    </w:p>
    <w:p>
      <w:pPr>
        <w:pStyle w:val="Default"/>
        <w:jc w:val="both"/>
        <w:rPr/>
      </w:pPr>
      <w:r>
        <w:rPr/>
      </w:r>
    </w:p>
    <w:p>
      <w:pPr>
        <w:pStyle w:val="Default"/>
        <w:jc w:val="both"/>
        <w:rPr/>
      </w:pPr>
      <w:r>
        <w:rPr>
          <w:b/>
          <w:strike w:val="false"/>
          <w:dstrike w:val="false"/>
          <w:sz w:val="22"/>
          <w:u w:val="none"/>
        </w:rPr>
        <w:t>Seção I</w:t>
      </w:r>
    </w:p>
    <w:p>
      <w:pPr>
        <w:pStyle w:val="Default"/>
        <w:jc w:val="both"/>
        <w:rPr/>
      </w:pPr>
      <w:r>
        <w:rPr>
          <w:b/>
          <w:strike w:val="false"/>
          <w:dstrike w:val="false"/>
          <w:sz w:val="22"/>
          <w:u w:val="none"/>
        </w:rPr>
        <w:t>Do Programa Municipal de Incen</w:t>
      </w:r>
      <w:r>
        <w:rPr>
          <w:b w:val="false"/>
          <w:strike w:val="false"/>
          <w:dstrike w:val="false"/>
          <w:sz w:val="22"/>
          <w:u w:val="none"/>
        </w:rPr>
        <w:t>ti</w:t>
      </w:r>
      <w:r>
        <w:rPr>
          <w:b/>
          <w:strike w:val="false"/>
          <w:dstrike w:val="false"/>
          <w:sz w:val="22"/>
          <w:u w:val="none"/>
        </w:rPr>
        <w:t>vo à Ciência, Tecnologia, Inovação e Conhecimento (PICTI)</w:t>
      </w:r>
    </w:p>
    <w:p>
      <w:pPr>
        <w:pStyle w:val="Default"/>
        <w:jc w:val="both"/>
        <w:rPr/>
      </w:pPr>
      <w:r>
        <w:rPr/>
      </w:r>
    </w:p>
    <w:p>
      <w:pPr>
        <w:pStyle w:val="Default"/>
        <w:jc w:val="both"/>
        <w:rPr/>
      </w:pPr>
      <w:r>
        <w:rPr>
          <w:b w:val="false"/>
          <w:strike w:val="false"/>
          <w:dstrike w:val="false"/>
          <w:sz w:val="22"/>
          <w:u w:val="none"/>
        </w:rPr>
        <w:t>Art. 22. Para alcançar os objetivos estabelecidos nesta Lei, fica o Executivo Municipal autorizado a buscar fontes de financiamentos para pessoas jurídicas e pessoas físicas, estabelecidas ou domiciliadas no município de Gramado, bem como conceder incentivos fiscais e financeiros a serem regulamentados por leis próprias.</w:t>
      </w:r>
    </w:p>
    <w:p>
      <w:pPr>
        <w:pStyle w:val="Default"/>
        <w:jc w:val="both"/>
        <w:rPr>
          <w:b w:val="false"/>
          <w:strike w:val="false"/>
          <w:dstrike w:val="false"/>
          <w:sz w:val="22"/>
          <w:u w:val="none"/>
        </w:rPr>
      </w:pPr>
      <w:r>
        <w:rPr>
          <w:b w:val="false"/>
          <w:strike w:val="false"/>
          <w:dstrike w:val="false"/>
          <w:sz w:val="22"/>
          <w:u w:val="none"/>
        </w:rPr>
      </w:r>
    </w:p>
    <w:p>
      <w:pPr>
        <w:pStyle w:val="Default"/>
        <w:jc w:val="both"/>
        <w:rPr/>
      </w:pPr>
      <w:r>
        <w:rPr>
          <w:b w:val="false"/>
          <w:strike w:val="false"/>
          <w:dstrike w:val="false"/>
          <w:sz w:val="22"/>
          <w:u w:val="none"/>
        </w:rPr>
        <w:t>Parágrafo único. Os incentivos fiscais mencionados neste artigo somente poderão ser concedidos mediante lei específica para cada tributo, após cumprimento integral das exigências da Lei de Responsabilidade Fiscal e do art. 113 do Ato das Disposições Constitucionais Transitórias (ADCT), não se interpretando o presente artigo como concessão direta de qualquer benefício tributário.</w:t>
      </w:r>
    </w:p>
    <w:p>
      <w:pPr>
        <w:pStyle w:val="Default"/>
        <w:jc w:val="both"/>
        <w:rPr/>
      </w:pPr>
      <w:r>
        <w:rPr/>
      </w:r>
    </w:p>
    <w:p>
      <w:pPr>
        <w:pStyle w:val="Default"/>
        <w:jc w:val="both"/>
        <w:rPr/>
      </w:pPr>
      <w:r>
        <w:rPr>
          <w:b/>
          <w:strike w:val="false"/>
          <w:dstrike w:val="false"/>
          <w:sz w:val="22"/>
          <w:u w:val="none"/>
        </w:rPr>
        <w:t>Seção II</w:t>
      </w:r>
    </w:p>
    <w:p>
      <w:pPr>
        <w:pStyle w:val="Default"/>
        <w:jc w:val="both"/>
        <w:rPr/>
      </w:pPr>
      <w:r>
        <w:rPr>
          <w:b/>
          <w:strike w:val="false"/>
          <w:dstrike w:val="false"/>
          <w:sz w:val="22"/>
          <w:u w:val="none"/>
        </w:rPr>
        <w:t>Do Fundo Municipal de Fomento à Inovação (FMFI)</w:t>
      </w:r>
    </w:p>
    <w:p>
      <w:pPr>
        <w:pStyle w:val="Default"/>
        <w:jc w:val="both"/>
        <w:rPr/>
      </w:pPr>
      <w:r>
        <w:rPr/>
      </w:r>
    </w:p>
    <w:p>
      <w:pPr>
        <w:pStyle w:val="Default"/>
        <w:jc w:val="both"/>
        <w:rPr/>
      </w:pPr>
      <w:r>
        <w:rPr>
          <w:b w:val="false"/>
          <w:strike w:val="false"/>
          <w:dstrike w:val="false"/>
          <w:sz w:val="22"/>
          <w:u w:val="none"/>
        </w:rPr>
        <w:t>Art. 22-A. Fica instituído o Fundo Municipal de Fomento à Inovação de Gramado(FMFI), de natureza contábil e financeira, vinculado à Secretaria Municipal de Inovação e Desenvolvimento Econômico.</w:t>
      </w:r>
    </w:p>
    <w:p>
      <w:pPr>
        <w:pStyle w:val="Default"/>
        <w:jc w:val="both"/>
        <w:rPr/>
      </w:pPr>
      <w:r>
        <w:rPr>
          <w:b w:val="false"/>
          <w:strike w:val="false"/>
          <w:dstrike w:val="false"/>
          <w:sz w:val="22"/>
          <w:u w:val="none"/>
        </w:rPr>
        <w:t>Parágrafo único. O FMFI destina-se a prover recursos para o financiamento de programas, projetos e ações voltados à inovação, à ciência, à tecnologia e ao empreendedorismo, em caráter complementar à Política Municipal de Inovação estabelecida por esta Lei.</w:t>
      </w:r>
    </w:p>
    <w:p>
      <w:pPr>
        <w:pStyle w:val="Default"/>
        <w:jc w:val="both"/>
        <w:rPr>
          <w:b w:val="false"/>
          <w:strike w:val="false"/>
          <w:dstrike w:val="false"/>
          <w:sz w:val="22"/>
          <w:u w:val="none"/>
        </w:rPr>
      </w:pPr>
      <w:r>
        <w:rPr>
          <w:b w:val="false"/>
          <w:strike w:val="false"/>
          <w:dstrike w:val="false"/>
          <w:sz w:val="22"/>
          <w:u w:val="none"/>
        </w:rPr>
      </w:r>
    </w:p>
    <w:p>
      <w:pPr>
        <w:pStyle w:val="Default"/>
        <w:jc w:val="both"/>
        <w:rPr/>
      </w:pPr>
      <w:r>
        <w:rPr>
          <w:b w:val="false"/>
          <w:strike w:val="false"/>
          <w:dstrike w:val="false"/>
          <w:sz w:val="22"/>
          <w:u w:val="none"/>
        </w:rPr>
        <w:t>Art. 22-B. O FMFI terá como finalidades:</w:t>
      </w:r>
    </w:p>
    <w:p>
      <w:pPr>
        <w:pStyle w:val="Normal"/>
        <w:jc w:val="both"/>
        <w:rPr/>
      </w:pPr>
      <w:r>
        <w:rPr>
          <w:b w:val="false"/>
          <w:strike w:val="false"/>
          <w:dstrike w:val="false"/>
          <w:sz w:val="22"/>
          <w:u w:val="none"/>
        </w:rPr>
        <w:t xml:space="preserve">I- apoiar o desenvolvimento, a validação e o teste de soluções inovadoras aplicáveis aos desafios do Município; </w:t>
      </w:r>
    </w:p>
    <w:p>
      <w:pPr>
        <w:pStyle w:val="Default"/>
        <w:jc w:val="both"/>
        <w:rPr/>
      </w:pPr>
      <w:r>
        <w:rPr>
          <w:sz w:val="22"/>
        </w:rPr>
        <w:t>II- fomentar a implantação e consolidação de ambientes de inovação, como hubs, coworkings de inovação, sandboxes regulatórios, laboratórios de experimentação tecnológica (living labs), incubadoras, aceleradoras e distritos de inovação, bem como apoiar a instalação de laboratórios e salas de inovação em instituições de ensino e pesquisa, entre outros;</w:t>
      </w:r>
    </w:p>
    <w:p>
      <w:pPr>
        <w:pStyle w:val="Default"/>
        <w:jc w:val="both"/>
        <w:rPr/>
      </w:pPr>
      <w:r>
        <w:rPr/>
      </w:r>
    </w:p>
    <w:p>
      <w:pPr>
        <w:pStyle w:val="Default"/>
        <w:jc w:val="both"/>
        <w:rPr/>
      </w:pPr>
      <w:r>
        <w:rPr>
          <w:strike w:val="false"/>
          <w:dstrike w:val="false"/>
          <w:sz w:val="22"/>
          <w:u w:val="none"/>
        </w:rPr>
        <w:t>III- incentivar a criação, o desenvolvimento e a aceleração de startups e empresas de base tecnológica;</w:t>
      </w:r>
    </w:p>
    <w:p>
      <w:pPr>
        <w:pStyle w:val="Default"/>
        <w:jc w:val="both"/>
        <w:rPr/>
      </w:pPr>
      <w:r>
        <w:rPr/>
      </w:r>
    </w:p>
    <w:p>
      <w:pPr>
        <w:pStyle w:val="Default"/>
        <w:jc w:val="both"/>
        <w:rPr/>
      </w:pPr>
      <w:r>
        <w:rPr>
          <w:strike w:val="false"/>
          <w:dstrike w:val="false"/>
          <w:sz w:val="22"/>
          <w:u w:val="none"/>
        </w:rPr>
        <w:t>IV- promover a formação, retenção e atração de talentos vocacionados à nova economia, inclusive por meio de programas de incentivo e premiações;</w:t>
      </w:r>
    </w:p>
    <w:p>
      <w:pPr>
        <w:pStyle w:val="Default"/>
        <w:jc w:val="both"/>
        <w:rPr/>
      </w:pPr>
      <w:r>
        <w:rPr/>
      </w:r>
    </w:p>
    <w:p>
      <w:pPr>
        <w:pStyle w:val="Default"/>
        <w:jc w:val="both"/>
        <w:rPr/>
      </w:pPr>
      <w:r>
        <w:rPr>
          <w:strike w:val="false"/>
          <w:dstrike w:val="false"/>
          <w:sz w:val="22"/>
          <w:u w:val="none"/>
        </w:rPr>
        <w:t>V- apoiar empreendimentos e projetos de impacto socio ambiental alinhados às diretrizes de inovação sustentável;</w:t>
      </w:r>
    </w:p>
    <w:p>
      <w:pPr>
        <w:pStyle w:val="Default"/>
        <w:jc w:val="both"/>
        <w:rPr/>
      </w:pPr>
      <w:r>
        <w:rPr/>
      </w:r>
    </w:p>
    <w:p>
      <w:pPr>
        <w:pStyle w:val="Default"/>
        <w:jc w:val="both"/>
        <w:rPr/>
      </w:pPr>
      <w:r>
        <w:rPr>
          <w:strike w:val="false"/>
          <w:dstrike w:val="false"/>
          <w:sz w:val="22"/>
          <w:u w:val="none"/>
        </w:rPr>
        <w:t>VI- fomentar a contratação de soluções inovadoras por meio de chamadas públicas, editais de inovação, concursos ou instrumentos congêneres;</w:t>
      </w:r>
    </w:p>
    <w:p>
      <w:pPr>
        <w:pStyle w:val="Default"/>
        <w:jc w:val="both"/>
        <w:rPr/>
      </w:pPr>
      <w:r>
        <w:rPr/>
      </w:r>
    </w:p>
    <w:p>
      <w:pPr>
        <w:pStyle w:val="Default"/>
        <w:jc w:val="both"/>
        <w:rPr/>
      </w:pPr>
      <w:r>
        <w:rPr>
          <w:strike w:val="false"/>
          <w:dstrike w:val="false"/>
          <w:sz w:val="22"/>
          <w:u w:val="none"/>
        </w:rPr>
        <w:t>VII- dinamizar o ambiente de negócios local e estimular a atração de empresas inovadoras, visando à modernização de setores tradicionais como o comércio, a hotelaria, a gastronomia, o artesanato no setor de eventos, bem como a atualização tecnológica de empreendimentos vinculados a programas municipais de desenvolvimento econômico;</w:t>
      </w:r>
    </w:p>
    <w:p>
      <w:pPr>
        <w:pStyle w:val="Default"/>
        <w:jc w:val="both"/>
        <w:rPr/>
      </w:pPr>
      <w:r>
        <w:rPr/>
      </w:r>
    </w:p>
    <w:p>
      <w:pPr>
        <w:pStyle w:val="Default"/>
        <w:jc w:val="both"/>
        <w:rPr/>
      </w:pPr>
      <w:r>
        <w:rPr>
          <w:strike w:val="false"/>
          <w:dstrike w:val="false"/>
          <w:sz w:val="22"/>
          <w:u w:val="none"/>
        </w:rPr>
        <w:t xml:space="preserve">VIII- promover a realização de eventos de inovação, ciência e tecnologia, abrangendo inovações em produtos, serviços e processos; </w:t>
      </w:r>
    </w:p>
    <w:p>
      <w:pPr>
        <w:pStyle w:val="Default"/>
        <w:jc w:val="both"/>
        <w:rPr/>
      </w:pPr>
      <w:r>
        <w:rPr/>
      </w:r>
    </w:p>
    <w:p>
      <w:pPr>
        <w:pStyle w:val="Default"/>
        <w:jc w:val="both"/>
        <w:rPr/>
      </w:pPr>
      <w:r>
        <w:rPr>
          <w:strike w:val="false"/>
          <w:dstrike w:val="false"/>
          <w:sz w:val="22"/>
          <w:u w:val="none"/>
        </w:rPr>
        <w:t xml:space="preserve">IX- apoiar programas de capacitação de servidores e agentes públicos em inovação, ciência, tecnologia e transformação digital; </w:t>
      </w:r>
    </w:p>
    <w:p>
      <w:pPr>
        <w:pStyle w:val="Default"/>
        <w:jc w:val="both"/>
        <w:rPr/>
      </w:pPr>
      <w:r>
        <w:rPr/>
      </w:r>
    </w:p>
    <w:p>
      <w:pPr>
        <w:pStyle w:val="Default"/>
        <w:jc w:val="both"/>
        <w:rPr/>
      </w:pPr>
      <w:r>
        <w:rPr>
          <w:strike w:val="false"/>
          <w:dstrike w:val="false"/>
          <w:sz w:val="22"/>
          <w:u w:val="none"/>
        </w:rPr>
        <w:t>X- apoiar a participação de empreendedores, startups, pesquisadores e agentes públicos em missões técnicas, feiras, rodadas de negócios e eventos de inovação, em âmbito nacional e internacional, visando à prospecção de tecnologias, captação de investimentos e internacionalização do ecossistema local de inovação.</w:t>
      </w:r>
    </w:p>
    <w:p>
      <w:pPr>
        <w:pStyle w:val="Default"/>
        <w:jc w:val="both"/>
        <w:rPr/>
      </w:pPr>
      <w:r>
        <w:rPr/>
      </w:r>
    </w:p>
    <w:p>
      <w:pPr>
        <w:pStyle w:val="Default"/>
        <w:jc w:val="both"/>
        <w:rPr/>
      </w:pPr>
      <w:r>
        <w:rPr>
          <w:strike w:val="false"/>
          <w:dstrike w:val="false"/>
          <w:sz w:val="22"/>
          <w:u w:val="none"/>
        </w:rPr>
        <w:t>Art. 22-C. Constituirão receitas do FMFI:</w:t>
      </w:r>
    </w:p>
    <w:p>
      <w:pPr>
        <w:pStyle w:val="Default"/>
        <w:jc w:val="both"/>
        <w:rPr/>
      </w:pPr>
      <w:r>
        <w:rPr/>
      </w:r>
    </w:p>
    <w:p>
      <w:pPr>
        <w:pStyle w:val="Default"/>
        <w:jc w:val="both"/>
        <w:rPr/>
      </w:pPr>
      <w:r>
        <w:rPr>
          <w:strike w:val="false"/>
          <w:dstrike w:val="false"/>
          <w:sz w:val="22"/>
          <w:u w:val="none"/>
        </w:rPr>
        <w:t>I- dotações orçamentárias do Município, consignadas anualmente na Lei Orçamentária;</w:t>
      </w:r>
    </w:p>
    <w:p>
      <w:pPr>
        <w:pStyle w:val="Default"/>
        <w:jc w:val="both"/>
        <w:rPr/>
      </w:pPr>
      <w:r>
        <w:rPr/>
      </w:r>
    </w:p>
    <w:p>
      <w:pPr>
        <w:pStyle w:val="Default"/>
        <w:jc w:val="both"/>
        <w:rPr/>
      </w:pPr>
      <w:r>
        <w:rPr>
          <w:strike w:val="false"/>
          <w:dstrike w:val="false"/>
          <w:sz w:val="22"/>
          <w:u w:val="none"/>
        </w:rPr>
        <w:t>II- transferências de recursos da União, dos Estados e de outros Municípios;</w:t>
      </w:r>
    </w:p>
    <w:p>
      <w:pPr>
        <w:pStyle w:val="Default"/>
        <w:jc w:val="both"/>
        <w:rPr/>
      </w:pPr>
      <w:r>
        <w:rPr/>
      </w:r>
    </w:p>
    <w:p>
      <w:pPr>
        <w:pStyle w:val="Default"/>
        <w:jc w:val="both"/>
        <w:rPr/>
      </w:pPr>
      <w:r>
        <w:rPr>
          <w:strike w:val="false"/>
          <w:dstrike w:val="false"/>
          <w:sz w:val="22"/>
          <w:u w:val="none"/>
        </w:rPr>
        <w:t>III- recursos provenientes de órgãos e agências de fomento, bancos de desenvolvimento e Instituições Científicas, Tecnológicas e de Inovação (ICTs), assim definidas nos termos da Lei Federal nº 10.973, de 2 de dezembro de 2004 e suas alterações, instituições de pesquisa tais como FINEP, BNDES, FNDCT e FAPs;</w:t>
      </w:r>
    </w:p>
    <w:p>
      <w:pPr>
        <w:pStyle w:val="Default"/>
        <w:jc w:val="both"/>
        <w:rPr/>
      </w:pPr>
      <w:r>
        <w:rPr/>
      </w:r>
    </w:p>
    <w:p>
      <w:pPr>
        <w:pStyle w:val="Default"/>
        <w:jc w:val="both"/>
        <w:rPr/>
      </w:pPr>
      <w:r>
        <w:rPr>
          <w:strike w:val="false"/>
          <w:dstrike w:val="false"/>
          <w:sz w:val="22"/>
          <w:u w:val="none"/>
        </w:rPr>
        <w:t>IV- recursos oriundos de convênios, parcerias, acordos ou instrumentos congêneres firmados com entidades públicas ou privadas, nacionais ou internacionais;</w:t>
      </w:r>
    </w:p>
    <w:p>
      <w:pPr>
        <w:pStyle w:val="Normal"/>
        <w:jc w:val="both"/>
        <w:rPr/>
      </w:pPr>
      <w:r>
        <w:rPr>
          <w:strike w:val="false"/>
          <w:dstrike w:val="false"/>
          <w:color w:val="000000"/>
          <w:sz w:val="22"/>
          <w:szCs w:val="24"/>
          <w:u w:val="none"/>
        </w:rPr>
        <w:t xml:space="preserve">V- doações, auxílios, rendas, subvenções e contribuições de pessoas físicas ou jurídicas, nacionais ou estrangeiras, inclusive via mecanismos de financiamento </w:t>
      </w:r>
      <w:r>
        <w:rPr>
          <w:strike w:val="false"/>
          <w:dstrike w:val="false"/>
          <w:sz w:val="22"/>
          <w:u w:val="none"/>
        </w:rPr>
        <w:t>coleti</w:t>
      </w:r>
      <w:r>
        <w:rPr>
          <w:sz w:val="22"/>
        </w:rPr>
        <w:t>vo (crowdfunding);</w:t>
      </w:r>
    </w:p>
    <w:p>
      <w:pPr>
        <w:pStyle w:val="Default"/>
        <w:jc w:val="both"/>
        <w:rPr/>
      </w:pPr>
      <w:r>
        <w:rPr>
          <w:strike w:val="false"/>
          <w:dstrike w:val="false"/>
          <w:sz w:val="22"/>
          <w:u w:val="none"/>
        </w:rPr>
        <w:t>VI- recursos derivados de leis de incentivo fiscal (como a Lei do Bem) e aportes de capital de risco (venture capital ou investidores-anjo) destinados a projetos apoiados pelo Fundo;</w:t>
      </w:r>
    </w:p>
    <w:p>
      <w:pPr>
        <w:pStyle w:val="Default"/>
        <w:jc w:val="both"/>
        <w:rPr/>
      </w:pPr>
      <w:r>
        <w:rPr/>
      </w:r>
    </w:p>
    <w:p>
      <w:pPr>
        <w:pStyle w:val="Default"/>
        <w:jc w:val="both"/>
        <w:rPr/>
      </w:pPr>
      <w:r>
        <w:rPr>
          <w:strike w:val="false"/>
          <w:dstrike w:val="false"/>
          <w:sz w:val="22"/>
          <w:u w:val="none"/>
        </w:rPr>
        <w:t>VII- receitas provenientes de aplicações financeiras e rendimentos de capital;</w:t>
      </w:r>
    </w:p>
    <w:p>
      <w:pPr>
        <w:pStyle w:val="Default"/>
        <w:jc w:val="both"/>
        <w:rPr/>
      </w:pPr>
      <w:r>
        <w:rPr/>
      </w:r>
    </w:p>
    <w:p>
      <w:pPr>
        <w:pStyle w:val="Default"/>
        <w:jc w:val="both"/>
        <w:rPr/>
      </w:pPr>
      <w:r>
        <w:rPr>
          <w:strike w:val="false"/>
          <w:dstrike w:val="false"/>
          <w:sz w:val="22"/>
          <w:u w:val="none"/>
        </w:rPr>
        <w:t>VIII- recursos oriundos de linhas de crédito, financiamentos e repasses destinados à inovação, ciência e tecnologia;</w:t>
      </w:r>
    </w:p>
    <w:p>
      <w:pPr>
        <w:pStyle w:val="Default"/>
        <w:jc w:val="both"/>
        <w:rPr/>
      </w:pPr>
      <w:r>
        <w:rPr/>
      </w:r>
    </w:p>
    <w:p>
      <w:pPr>
        <w:pStyle w:val="Default"/>
        <w:jc w:val="both"/>
        <w:rPr/>
      </w:pPr>
      <w:r>
        <w:rPr>
          <w:strike w:val="false"/>
          <w:dstrike w:val="false"/>
          <w:sz w:val="22"/>
          <w:u w:val="none"/>
        </w:rPr>
        <w:t>IX- receitas de eventos, atividades e campanhas de captação de recursos;</w:t>
      </w:r>
    </w:p>
    <w:p>
      <w:pPr>
        <w:pStyle w:val="Default"/>
        <w:jc w:val="both"/>
        <w:rPr/>
      </w:pPr>
      <w:r>
        <w:rPr/>
      </w:r>
    </w:p>
    <w:p>
      <w:pPr>
        <w:pStyle w:val="Default"/>
        <w:jc w:val="both"/>
        <w:rPr/>
      </w:pPr>
      <w:r>
        <w:rPr>
          <w:strike w:val="false"/>
          <w:dstrike w:val="false"/>
          <w:sz w:val="22"/>
          <w:u w:val="none"/>
        </w:rPr>
        <w:t>X- receitas oriundas de multas ou devoluções relacionadas a projetos de inovação não executados ou executados em desconformidade;</w:t>
      </w:r>
    </w:p>
    <w:p>
      <w:pPr>
        <w:pStyle w:val="Default"/>
        <w:jc w:val="both"/>
        <w:rPr/>
      </w:pPr>
      <w:r>
        <w:rPr/>
      </w:r>
    </w:p>
    <w:p>
      <w:pPr>
        <w:pStyle w:val="Default"/>
        <w:jc w:val="both"/>
        <w:rPr/>
      </w:pPr>
      <w:r>
        <w:rPr>
          <w:strike w:val="false"/>
          <w:dstrike w:val="false"/>
          <w:sz w:val="22"/>
          <w:u w:val="none"/>
        </w:rPr>
        <w:t>XI- outras receitas legalmente destinadas ao Fundo;</w:t>
      </w:r>
    </w:p>
    <w:p>
      <w:pPr>
        <w:pStyle w:val="Default"/>
        <w:jc w:val="both"/>
        <w:rPr/>
      </w:pPr>
      <w:r>
        <w:rPr/>
      </w:r>
    </w:p>
    <w:p>
      <w:pPr>
        <w:pStyle w:val="Default"/>
        <w:jc w:val="both"/>
        <w:rPr/>
      </w:pPr>
      <w:r>
        <w:rPr>
          <w:strike w:val="false"/>
          <w:dstrike w:val="false"/>
          <w:sz w:val="22"/>
          <w:u w:val="none"/>
        </w:rPr>
        <w:t>XII- recursos oriundos de repasses parlamentares;</w:t>
      </w:r>
    </w:p>
    <w:p>
      <w:pPr>
        <w:pStyle w:val="Default"/>
        <w:jc w:val="both"/>
        <w:rPr/>
      </w:pPr>
      <w:r>
        <w:rPr/>
      </w:r>
    </w:p>
    <w:p>
      <w:pPr>
        <w:pStyle w:val="Default"/>
        <w:jc w:val="both"/>
        <w:rPr/>
      </w:pPr>
      <w:r>
        <w:rPr>
          <w:strike w:val="false"/>
          <w:dstrike w:val="false"/>
          <w:sz w:val="22"/>
          <w:u w:val="none"/>
        </w:rPr>
        <w:t>XIII- retornos financeiros decorrentes de participação nos resultados, royalties ou receitas de projetos apoiados pelo Fundo, nos termos estabelecidos nos respectivos instrumentos contratuais;</w:t>
      </w:r>
    </w:p>
    <w:p>
      <w:pPr>
        <w:pStyle w:val="Default"/>
        <w:jc w:val="both"/>
        <w:rPr/>
      </w:pPr>
      <w:r>
        <w:rPr/>
      </w:r>
    </w:p>
    <w:p>
      <w:pPr>
        <w:pStyle w:val="Default"/>
        <w:jc w:val="both"/>
        <w:rPr/>
      </w:pPr>
      <w:r>
        <w:rPr>
          <w:strike w:val="false"/>
          <w:dstrike w:val="false"/>
          <w:sz w:val="22"/>
          <w:u w:val="none"/>
        </w:rPr>
        <w:t>XIV- receitas provenientes da cessão onerosa de uso de espaços, equipamentos e infraestrutura física custeados com recursos do Fundo, tais como hubs de inovação, laboratórios, coworkings e ambientes de experimentação tecnológica, nos termos de regulamento específico;</w:t>
      </w:r>
    </w:p>
    <w:p>
      <w:pPr>
        <w:pStyle w:val="Default"/>
        <w:jc w:val="both"/>
        <w:rPr/>
      </w:pPr>
      <w:r>
        <w:rPr/>
      </w:r>
    </w:p>
    <w:p>
      <w:pPr>
        <w:pStyle w:val="Default"/>
        <w:jc w:val="both"/>
        <w:rPr/>
      </w:pPr>
      <w:r>
        <w:rPr>
          <w:strike w:val="false"/>
          <w:dstrike w:val="false"/>
          <w:sz w:val="22"/>
          <w:u w:val="none"/>
        </w:rPr>
        <w:t>XV- recursos destinados ao Fundo por determinação do Poder Judiciário ou do Ministério Público, provenientes de acordos, Termos de Ajustamento de Conduta(TAC) ou instrumentos congêneres, em matérias relacionadas às finalidades do FMFI;</w:t>
      </w:r>
    </w:p>
    <w:p>
      <w:pPr>
        <w:pStyle w:val="Default"/>
        <w:jc w:val="both"/>
        <w:rPr/>
      </w:pPr>
      <w:r>
        <w:rPr/>
      </w:r>
    </w:p>
    <w:p>
      <w:pPr>
        <w:pStyle w:val="Default"/>
        <w:jc w:val="both"/>
        <w:rPr/>
      </w:pPr>
      <w:r>
        <w:rPr>
          <w:strike w:val="false"/>
          <w:dstrike w:val="false"/>
          <w:sz w:val="22"/>
          <w:u w:val="none"/>
        </w:rPr>
        <w:t>XVI- receitas provenientes da cessão de espaços públicos municipais para a realização de eventos de ciência, inovação e tecnologia promovidos por entidades públicas ou privadas, conforme regulamento do Executivo. Parágrafo único. Os saldos financeiros do FMFI, apurados em balanço anual, serão automaticamente transferidos para o exercício seguinte, a crédito do próprio Fundo.</w:t>
      </w:r>
    </w:p>
    <w:p>
      <w:pPr>
        <w:pStyle w:val="Default"/>
        <w:jc w:val="both"/>
        <w:rPr/>
      </w:pPr>
      <w:r>
        <w:rPr/>
      </w:r>
    </w:p>
    <w:p>
      <w:pPr>
        <w:pStyle w:val="Default"/>
        <w:jc w:val="both"/>
        <w:rPr/>
      </w:pPr>
      <w:r>
        <w:rPr>
          <w:strike w:val="false"/>
          <w:dstrike w:val="false"/>
          <w:sz w:val="22"/>
          <w:u w:val="none"/>
        </w:rPr>
        <w:t>Art. 22-D. A gestão administrativa, técnica e financeira do FMFI competirá à Secretaria Municipal de Inovação e Desenvolvimento Econômico, que prestará o suporte necessário à execução de suas atividades.</w:t>
      </w:r>
    </w:p>
    <w:p>
      <w:pPr>
        <w:pStyle w:val="Default"/>
        <w:jc w:val="both"/>
        <w:rPr/>
      </w:pPr>
      <w:r>
        <w:rPr/>
      </w:r>
    </w:p>
    <w:p>
      <w:pPr>
        <w:pStyle w:val="Default"/>
        <w:jc w:val="both"/>
        <w:rPr/>
      </w:pPr>
      <w:r>
        <w:rPr>
          <w:strike w:val="false"/>
          <w:dstrike w:val="false"/>
          <w:sz w:val="22"/>
          <w:u w:val="none"/>
        </w:rPr>
        <w:t>Art. 22-E. A instância máxima de deliberação do FMFI será o Conselho Municipal de Inovação de Gramado, instituído pelo art. 11 desta Lei, competindo-lhe especialmente:</w:t>
      </w:r>
    </w:p>
    <w:p>
      <w:pPr>
        <w:pStyle w:val="Default"/>
        <w:jc w:val="both"/>
        <w:rPr>
          <w:strike w:val="false"/>
          <w:dstrike w:val="false"/>
          <w:sz w:val="22"/>
          <w:u w:val="none"/>
        </w:rPr>
      </w:pPr>
      <w:r>
        <w:rPr>
          <w:strike w:val="false"/>
          <w:dstrike w:val="false"/>
          <w:sz w:val="22"/>
          <w:u w:val="none"/>
        </w:rPr>
      </w:r>
    </w:p>
    <w:p>
      <w:pPr>
        <w:pStyle w:val="Default"/>
        <w:jc w:val="both"/>
        <w:rPr/>
      </w:pPr>
      <w:r>
        <w:rPr>
          <w:strike w:val="false"/>
          <w:dstrike w:val="false"/>
          <w:sz w:val="22"/>
          <w:u w:val="none"/>
        </w:rPr>
        <w:t>I- deliberar sobre as diretrizes estratégicas e o Plano Anual de Aplicação dos recursos do Fundo;</w:t>
      </w:r>
    </w:p>
    <w:p>
      <w:pPr>
        <w:pStyle w:val="Normal"/>
        <w:jc w:val="both"/>
        <w:rPr>
          <w:color w:val="000000"/>
          <w:sz w:val="24"/>
          <w:szCs w:val="24"/>
        </w:rPr>
      </w:pPr>
      <w:r>
        <w:rPr>
          <w:strike w:val="false"/>
          <w:dstrike w:val="false"/>
          <w:color w:val="000000"/>
          <w:sz w:val="22"/>
          <w:szCs w:val="24"/>
          <w:u w:val="none"/>
        </w:rPr>
        <w:t xml:space="preserve">II- aprovar os editais, regulamentos e chamadas públicas para seleção de projetos, bem como seus resultados; </w:t>
      </w:r>
    </w:p>
    <w:p>
      <w:pPr>
        <w:pStyle w:val="Default"/>
        <w:jc w:val="both"/>
        <w:rPr/>
      </w:pPr>
      <w:r>
        <w:rPr>
          <w:sz w:val="22"/>
        </w:rPr>
        <w:t>III- estabelecer e deliberar sobre os critérios de elegibilidade, priorização e destinação dos recursos, em conformidade com as finalidades do Fundo;</w:t>
      </w:r>
    </w:p>
    <w:p>
      <w:pPr>
        <w:pStyle w:val="Default"/>
        <w:jc w:val="both"/>
        <w:rPr/>
      </w:pPr>
      <w:r>
        <w:rPr/>
      </w:r>
    </w:p>
    <w:p>
      <w:pPr>
        <w:pStyle w:val="Default"/>
        <w:jc w:val="both"/>
        <w:rPr/>
      </w:pPr>
      <w:r>
        <w:rPr>
          <w:strike w:val="false"/>
          <w:dstrike w:val="false"/>
          <w:sz w:val="22"/>
          <w:u w:val="none"/>
        </w:rPr>
        <w:t>IV- acompanhar e avaliar a execução dos projetos apoiados e os resultados alcançados, com base em relatórios apresentados pela Secretaria Municipal de Inovação e Desenvolvimento Econômico;</w:t>
      </w:r>
    </w:p>
    <w:p>
      <w:pPr>
        <w:pStyle w:val="Default"/>
        <w:jc w:val="both"/>
        <w:rPr/>
      </w:pPr>
      <w:r>
        <w:rPr/>
      </w:r>
    </w:p>
    <w:p>
      <w:pPr>
        <w:pStyle w:val="Default"/>
        <w:jc w:val="both"/>
        <w:rPr/>
      </w:pPr>
      <w:r>
        <w:rPr>
          <w:strike w:val="false"/>
          <w:dstrike w:val="false"/>
          <w:sz w:val="22"/>
          <w:u w:val="none"/>
        </w:rPr>
        <w:t>V- aprovar os relatórios anuais de atividades e as prestações de contas do Fundo;</w:t>
      </w:r>
    </w:p>
    <w:p>
      <w:pPr>
        <w:pStyle w:val="Default"/>
        <w:jc w:val="both"/>
        <w:rPr/>
      </w:pPr>
      <w:r>
        <w:rPr/>
      </w:r>
    </w:p>
    <w:p>
      <w:pPr>
        <w:pStyle w:val="Default"/>
        <w:jc w:val="both"/>
        <w:rPr/>
      </w:pPr>
      <w:r>
        <w:rPr>
          <w:strike w:val="false"/>
          <w:dstrike w:val="false"/>
          <w:sz w:val="22"/>
          <w:u w:val="none"/>
        </w:rPr>
        <w:t>VI- zelar pela transparência, eficiência e economicidade na gestão e aplicação dos recursos do Fundo.</w:t>
      </w:r>
    </w:p>
    <w:p>
      <w:pPr>
        <w:pStyle w:val="Default"/>
        <w:jc w:val="both"/>
        <w:rPr/>
      </w:pPr>
      <w:r>
        <w:rPr/>
      </w:r>
    </w:p>
    <w:p>
      <w:pPr>
        <w:pStyle w:val="Default"/>
        <w:jc w:val="both"/>
        <w:rPr/>
      </w:pPr>
      <w:r>
        <w:rPr>
          <w:strike w:val="false"/>
          <w:dstrike w:val="false"/>
          <w:sz w:val="22"/>
          <w:u w:val="none"/>
        </w:rPr>
        <w:t>Art. 22-F. Os recursos do FMFI serão aplicados observando-se o Plano Plurianual(PPA), a Lei de Diretrizes Orçamentárias (LDO) e a Lei Orçamentária Anual (LOA).</w:t>
      </w:r>
    </w:p>
    <w:p>
      <w:pPr>
        <w:pStyle w:val="Default"/>
        <w:jc w:val="both"/>
        <w:rPr/>
      </w:pPr>
      <w:r>
        <w:rPr/>
      </w:r>
    </w:p>
    <w:p>
      <w:pPr>
        <w:pStyle w:val="Default"/>
        <w:jc w:val="both"/>
        <w:rPr/>
      </w:pPr>
      <w:r>
        <w:rPr>
          <w:strike w:val="false"/>
          <w:dstrike w:val="false"/>
          <w:sz w:val="22"/>
          <w:u w:val="none"/>
        </w:rPr>
        <w:t>Art. 22-G. É vedada a utilização de recursos do Fundo para pagamento deremuneração a servidores ou empregados públicos, salvo hipóteses previstas em lei específica.</w:t>
      </w:r>
    </w:p>
    <w:p>
      <w:pPr>
        <w:pStyle w:val="Default"/>
        <w:jc w:val="both"/>
        <w:rPr/>
      </w:pPr>
      <w:r>
        <w:rPr/>
      </w:r>
    </w:p>
    <w:p>
      <w:pPr>
        <w:pStyle w:val="Default"/>
        <w:jc w:val="both"/>
        <w:rPr/>
      </w:pPr>
      <w:r>
        <w:rPr>
          <w:strike w:val="false"/>
          <w:dstrike w:val="false"/>
          <w:sz w:val="22"/>
          <w:u w:val="none"/>
        </w:rPr>
        <w:t>Art. 22-H. O Poder Executivo regulamentará a presente Seção por decreto, no prazo de até 90 (noventa) dias, devendo o regulamento detalhar:</w:t>
      </w:r>
    </w:p>
    <w:p>
      <w:pPr>
        <w:pStyle w:val="Default"/>
        <w:jc w:val="both"/>
        <w:rPr/>
      </w:pPr>
      <w:r>
        <w:rPr/>
      </w:r>
    </w:p>
    <w:p>
      <w:pPr>
        <w:pStyle w:val="Default"/>
        <w:jc w:val="both"/>
        <w:rPr/>
      </w:pPr>
      <w:r>
        <w:rPr>
          <w:strike w:val="false"/>
          <w:dstrike w:val="false"/>
          <w:sz w:val="22"/>
          <w:u w:val="none"/>
        </w:rPr>
        <w:t>I- mecanismos de prestação de contas e transparência pública;</w:t>
      </w:r>
    </w:p>
    <w:p>
      <w:pPr>
        <w:pStyle w:val="Default"/>
        <w:jc w:val="both"/>
        <w:rPr/>
      </w:pPr>
      <w:r>
        <w:rPr/>
      </w:r>
    </w:p>
    <w:p>
      <w:pPr>
        <w:pStyle w:val="Default"/>
        <w:jc w:val="both"/>
        <w:rPr/>
      </w:pPr>
      <w:r>
        <w:rPr>
          <w:strike w:val="false"/>
          <w:dstrike w:val="false"/>
          <w:sz w:val="22"/>
          <w:u w:val="none"/>
        </w:rPr>
        <w:t>II- critérios objetivos para seleção, acompanhamento e avaliação de projetos;</w:t>
      </w:r>
    </w:p>
    <w:p>
      <w:pPr>
        <w:pStyle w:val="Default"/>
        <w:jc w:val="both"/>
        <w:rPr/>
      </w:pPr>
      <w:r>
        <w:rPr/>
      </w:r>
    </w:p>
    <w:p>
      <w:pPr>
        <w:pStyle w:val="Default"/>
        <w:jc w:val="both"/>
        <w:rPr/>
      </w:pPr>
      <w:r>
        <w:rPr>
          <w:strike w:val="false"/>
          <w:dstrike w:val="false"/>
          <w:sz w:val="22"/>
          <w:u w:val="none"/>
        </w:rPr>
        <w:t>III- procedimentos para parcerias e contratações, observada a Lei Federal nº13.019/2014, a Lei Complementar nº 182/2021 e os instrumentos de Compras Públicas Inovadoras (CPSI);</w:t>
      </w:r>
    </w:p>
    <w:p>
      <w:pPr>
        <w:pStyle w:val="Default"/>
        <w:jc w:val="both"/>
        <w:rPr/>
      </w:pPr>
      <w:r>
        <w:rPr/>
      </w:r>
    </w:p>
    <w:p>
      <w:pPr>
        <w:pStyle w:val="Default"/>
        <w:jc w:val="both"/>
        <w:rPr/>
      </w:pPr>
      <w:r>
        <w:rPr>
          <w:strike w:val="false"/>
          <w:dstrike w:val="false"/>
          <w:sz w:val="22"/>
          <w:u w:val="none"/>
        </w:rPr>
        <w:t>IV- normas para fomento de projetos que busquem o aproveitamento de incentivos fiscais (Lei do Bem);</w:t>
      </w:r>
    </w:p>
    <w:p>
      <w:pPr>
        <w:pStyle w:val="Default"/>
        <w:jc w:val="both"/>
        <w:rPr/>
      </w:pPr>
      <w:r>
        <w:rPr/>
      </w:r>
    </w:p>
    <w:p>
      <w:pPr>
        <w:pStyle w:val="Default"/>
        <w:jc w:val="both"/>
        <w:rPr/>
      </w:pPr>
      <w:r>
        <w:rPr>
          <w:strike w:val="false"/>
          <w:dstrike w:val="false"/>
          <w:sz w:val="22"/>
          <w:u w:val="none"/>
        </w:rPr>
        <w:t>V- critérios para a integração de incentivos entre o FMFI e o Programa PRODESI (Leinº 3.465/2015).</w:t>
      </w:r>
    </w:p>
    <w:p>
      <w:pPr>
        <w:pStyle w:val="Default"/>
        <w:jc w:val="both"/>
        <w:rPr/>
      </w:pPr>
      <w:r>
        <w:rPr/>
      </w:r>
    </w:p>
    <w:p>
      <w:pPr>
        <w:pStyle w:val="Default"/>
        <w:jc w:val="both"/>
        <w:rPr/>
      </w:pPr>
      <w:r>
        <w:rPr>
          <w:strike w:val="false"/>
          <w:dstrike w:val="false"/>
          <w:sz w:val="22"/>
          <w:u w:val="none"/>
        </w:rPr>
        <w:t>VI- definição dos critérios para que aportes privados (venture capital, investidores-anjo) sejam aceitos pelo Fundo sem comprometimento de sua natureza pública;</w:t>
      </w:r>
    </w:p>
    <w:p>
      <w:pPr>
        <w:pStyle w:val="Default"/>
        <w:jc w:val="both"/>
        <w:rPr/>
      </w:pPr>
      <w:r>
        <w:rPr/>
      </w:r>
    </w:p>
    <w:p>
      <w:pPr>
        <w:pStyle w:val="Default"/>
        <w:jc w:val="both"/>
        <w:rPr/>
      </w:pPr>
      <w:r>
        <w:rPr>
          <w:strike w:val="false"/>
          <w:dstrike w:val="false"/>
          <w:sz w:val="22"/>
          <w:u w:val="none"/>
        </w:rPr>
        <w:t>VII- regras de prevenção a conflitos de interesse na análise de projetos pelo Conselho;</w:t>
      </w:r>
    </w:p>
    <w:p>
      <w:pPr>
        <w:pStyle w:val="Default"/>
        <w:jc w:val="both"/>
        <w:rPr/>
      </w:pPr>
      <w:r>
        <w:rPr/>
      </w:r>
    </w:p>
    <w:p>
      <w:pPr>
        <w:pStyle w:val="Default"/>
        <w:jc w:val="both"/>
        <w:rPr/>
      </w:pPr>
      <w:r>
        <w:rPr>
          <w:strike w:val="false"/>
          <w:dstrike w:val="false"/>
          <w:sz w:val="22"/>
          <w:u w:val="none"/>
        </w:rPr>
        <w:t>VIII- prazo mínimo e máximo de vigência dos projetos apoiados;</w:t>
      </w:r>
    </w:p>
    <w:p>
      <w:pPr>
        <w:pStyle w:val="Normal"/>
        <w:jc w:val="both"/>
        <w:rPr/>
      </w:pPr>
      <w:r>
        <w:rPr>
          <w:b w:val="false"/>
          <w:i w:val="false"/>
          <w:caps w:val="false"/>
          <w:smallCaps w:val="false"/>
          <w:strike w:val="false"/>
          <w:dstrike w:val="false"/>
          <w:color w:val="000000"/>
          <w:spacing w:val="0"/>
          <w:sz w:val="22"/>
          <w:szCs w:val="24"/>
          <w:u w:val="none"/>
        </w:rPr>
        <w:t>IX- procedimentos para devolução de recursos em caso de execução parcial ou execução em desconformidade com o objeto aprovad</w:t>
      </w:r>
      <w:r>
        <w:rPr>
          <w:strike w:val="false"/>
          <w:dstrike w:val="false"/>
          <w:sz w:val="22"/>
          <w:u w:val="none"/>
        </w:rPr>
        <w:t xml:space="preserve">o. </w:t>
      </w:r>
    </w:p>
    <w:p>
      <w:pPr>
        <w:pStyle w:val="Normal"/>
        <w:jc w:val="both"/>
        <w:rPr/>
      </w:pPr>
      <w:r>
        <w:rPr>
          <w:b w:val="false"/>
          <w:i w:val="false"/>
          <w:caps w:val="false"/>
          <w:smallCaps w:val="false"/>
          <w:strike w:val="false"/>
          <w:dstrike w:val="false"/>
          <w:color w:val="000000"/>
          <w:spacing w:val="0"/>
          <w:sz w:val="22"/>
          <w:szCs w:val="24"/>
          <w:u w:val="none"/>
        </w:rPr>
        <w:t>Art. 3</w:t>
      </w:r>
      <w:r>
        <w:rPr>
          <w:sz w:val="22"/>
        </w:rPr>
        <w:t xml:space="preserve">º Esta Lei entra em vigor na data de sua publicação. </w:t>
      </w:r>
      <w:r>
        <w:rPr>
          <w:b w:val="false"/>
          <w:i w:val="false"/>
          <w:caps w:val="false"/>
          <w:smallCaps w:val="false"/>
          <w:strike w:val="false"/>
          <w:dstrike w:val="false"/>
          <w:color w:val="000000"/>
          <w:spacing w:val="0"/>
          <w:sz w:val="22"/>
          <w:szCs w:val="24"/>
          <w:u w:val="none"/>
        </w:rPr>
        <w:t xml:space="preserve"> </w:t>
      </w:r>
    </w:p>
    <w:p>
      <w:pPr>
        <w:pStyle w:val="Normal"/>
        <w:jc w:val="both"/>
        <w:rPr>
          <w:rFonts w:ascii="Calibri" w:hAnsi="Calibri"/>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Normal"/>
        <w:jc w:val="both"/>
        <w:rPr>
          <w:rFonts w:ascii="Calibri" w:hAnsi="Calibri"/>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Normal"/>
        <w:jc w:val="both"/>
        <w:rPr>
          <w:rFonts w:ascii="Calibri" w:hAnsi="Calibri"/>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Normal"/>
        <w:widowControl/>
        <w:suppressAutoHyphens w:val="true"/>
        <w:bidi w:val="0"/>
        <w:spacing w:before="120" w:after="0"/>
        <w:ind w:left="0" w:right="0" w:hanging="0"/>
        <w:jc w:val="center"/>
        <w:rPr/>
      </w:pP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rPr>
        <w:t xml:space="preserve">Gramado, 14 de abril de 2026. </w:t>
      </w:r>
    </w:p>
    <w:p>
      <w:pPr>
        <w:pStyle w:val="LO-Normal1"/>
        <w:widowControl/>
        <w:suppressAutoHyphens w:val="true"/>
        <w:bidi w:val="0"/>
        <w:spacing w:lineRule="auto" w:line="360" w:before="0" w:after="218"/>
        <w:ind w:left="0" w:right="283" w:firstLine="850"/>
        <w:jc w:val="center"/>
        <w:rPr>
          <w:rFonts w:ascii="Calibri" w:hAnsi="Calibri"/>
          <w:sz w:val="24"/>
          <w:szCs w:val="24"/>
        </w:rPr>
      </w:pPr>
      <w:r>
        <w:rPr>
          <w:sz w:val="24"/>
          <w:szCs w:val="24"/>
        </w:rPr>
      </w:r>
    </w:p>
    <w:p>
      <w:pPr>
        <w:pStyle w:val="Normal"/>
        <w:spacing w:before="120" w:after="0"/>
        <w:jc w:val="center"/>
        <w:rPr/>
      </w:pPr>
      <w:r>
        <w:rPr>
          <w:rFonts w:cs="Calibri" w:cstheme="minorHAnsi"/>
          <w:b/>
          <w:color w:val="000000"/>
          <w:sz w:val="24"/>
          <w:szCs w:val="24"/>
        </w:rPr>
        <w:t>Nestor Tissot</w:t>
      </w:r>
    </w:p>
    <w:p>
      <w:pPr>
        <w:pStyle w:val="Normal"/>
        <w:spacing w:before="120" w:after="0"/>
        <w:jc w:val="center"/>
        <w:rPr/>
      </w:pPr>
      <w:r>
        <w:rPr>
          <w:rStyle w:val="Fontepargpadro"/>
          <w:rFonts w:cs="Calibri" w:cstheme="minorHAnsi"/>
          <w:b/>
          <w:color w:val="000000"/>
          <w:sz w:val="24"/>
          <w:szCs w:val="24"/>
        </w:rPr>
        <w:t>Prefeito de Gramado</w:t>
      </w:r>
    </w:p>
    <w:sectPr>
      <w:headerReference w:type="even" r:id="rId2"/>
      <w:headerReference w:type="default" r:id="rId3"/>
      <w:headerReference w:type="first" r:id="rId4"/>
      <w:type w:val="nextPage"/>
      <w:pgSz w:w="11906" w:h="16838"/>
      <w:pgMar w:left="1701" w:right="850" w:gutter="0" w:header="720" w:top="2835" w:footer="0" w:bottom="1247"/>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spacing w:before="12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20" w:after="0"/>
      <w:jc w:val="center"/>
      <w:rPr/>
    </w:pPr>
    <w:r>
      <w:rPr/>
      <w:drawing>
        <wp:inline distT="0" distB="0" distL="0" distR="0">
          <wp:extent cx="3238500" cy="1098550"/>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1"/>
                  <a:stretch>
                    <a:fillRect/>
                  </a:stretch>
                </pic:blipFill>
                <pic:spPr bwMode="auto">
                  <a:xfrm>
                    <a:off x="0" y="0"/>
                    <a:ext cx="3238500" cy="1098550"/>
                  </a:xfrm>
                  <a:prstGeom prst="rect">
                    <a:avLst/>
                  </a:prstGeom>
                </pic:spPr>
              </pic:pic>
            </a:graphicData>
          </a:graphic>
        </wp:inline>
      </w:drawing>
    </w:r>
  </w:p>
  <w:p>
    <w:pPr>
      <w:pStyle w:val="Normal"/>
      <w:spacing w:before="120" w:after="0"/>
      <w:jc w:val="center"/>
      <w:rPr>
        <w:rFonts w:ascii="Arial" w:hAnsi="Arial"/>
        <w:color w:val="000000"/>
        <w:sz w:val="24"/>
      </w:rPr>
    </w:pPr>
    <w:r>
      <w:rPr>
        <w:rFonts w:ascii="Arial" w:hAnsi="Arial"/>
        <w:color w:val="000000"/>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20" w:after="0"/>
      <w:jc w:val="center"/>
      <w:rPr/>
    </w:pPr>
    <w:r>
      <w:rPr/>
      <w:drawing>
        <wp:inline distT="0" distB="0" distL="0" distR="0">
          <wp:extent cx="3238500" cy="1098550"/>
          <wp:effectExtent l="0" t="0" r="0" b="0"/>
          <wp:docPr id="2"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
                  <pic:cNvPicPr>
                    <a:picLocks noChangeAspect="1" noChangeArrowheads="1"/>
                  </pic:cNvPicPr>
                </pic:nvPicPr>
                <pic:blipFill>
                  <a:blip r:embed="rId1"/>
                  <a:stretch>
                    <a:fillRect/>
                  </a:stretch>
                </pic:blipFill>
                <pic:spPr bwMode="auto">
                  <a:xfrm>
                    <a:off x="0" y="0"/>
                    <a:ext cx="3238500" cy="1098550"/>
                  </a:xfrm>
                  <a:prstGeom prst="rect">
                    <a:avLst/>
                  </a:prstGeom>
                </pic:spPr>
              </pic:pic>
            </a:graphicData>
          </a:graphic>
        </wp:inline>
      </w:drawing>
    </w:r>
  </w:p>
  <w:p>
    <w:pPr>
      <w:pStyle w:val="Normal"/>
      <w:spacing w:before="120" w:after="0"/>
      <w:jc w:val="center"/>
      <w:rPr>
        <w:rFonts w:ascii="Arial" w:hAnsi="Arial"/>
        <w:color w:val="000000"/>
        <w:sz w:val="24"/>
      </w:rPr>
    </w:pPr>
    <w:r>
      <w:rPr>
        <w:rFonts w:ascii="Arial" w:hAnsi="Arial"/>
        <w:color w:val="000000"/>
        <w:sz w:val="24"/>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Title" w:uiPriority="10" w:semiHidden="0" w:unhideWhenUsed="0" w:qFormat="1"/>
    <w:lsdException w:name="Default Paragraph Font" w:uiPriority="1"/>
    <w:lsdException w:name="Subtitle" w:uiPriority="11" w:semiHidden="0" w:unhideWhenUsed="0" w:qFormat="1"/>
    <w:lsdException w:name="Emphasis" w:uiPriority="20" w:semiHidden="0" w:unhideWhenUsed="0" w:qFormat="1"/>
    <w:lsdException w:name="Table Grid" w:uiPriority="59" w:semiHidden="0" w:unhideWhenUsed="0"/>
  </w:latentStyles>
  <w:style w:type="paragraph" w:styleId="Normal" w:default="1">
    <w:name w:val="Normal"/>
    <w:qFormat/>
    <w:rsid w:val="004a3277"/>
    <w:pPr>
      <w:widowControl/>
      <w:suppressAutoHyphens w:val="true"/>
      <w:bidi w:val="0"/>
      <w:spacing w:before="120" w:after="120"/>
      <w:jc w:val="left"/>
    </w:pPr>
    <w:rPr>
      <w:rFonts w:ascii="Calibri" w:hAnsi="Calibri" w:eastAsia="Calibri" w:cs="" w:asciiTheme="minorHAnsi" w:cstheme="minorBidi" w:eastAsiaTheme="minorHAnsi" w:hAnsiTheme="minorHAnsi"/>
      <w:color w:val="auto"/>
      <w:kern w:val="0"/>
      <w:sz w:val="22"/>
      <w:szCs w:val="22"/>
      <w:lang w:val="pt-BR" w:eastAsia="pt-BR" w:bidi="pt-BR"/>
    </w:rPr>
  </w:style>
  <w:style w:type="paragraph" w:styleId="Ttulo1">
    <w:name w:val="Heading 1"/>
    <w:basedOn w:val="Normal"/>
    <w:next w:val="Normal"/>
    <w:link w:val="Ttulo1Char"/>
    <w:uiPriority w:val="9"/>
    <w:qFormat/>
    <w:rsid w:val="00841cd9"/>
    <w:pPr>
      <w:keepNext w:val="true"/>
      <w:keepLines/>
      <w:spacing w:before="480" w:after="12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Ttulo2">
    <w:name w:val="Heading 2"/>
    <w:basedOn w:val="Normal"/>
    <w:next w:val="Normal"/>
    <w:link w:val="Ttulo2Char"/>
    <w:uiPriority w:val="9"/>
    <w:unhideWhenUsed/>
    <w:qFormat/>
    <w:rsid w:val="00841cd9"/>
    <w:pPr>
      <w:keepNext w:val="true"/>
      <w:keepLines/>
      <w:spacing w:before="200" w:after="12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Ttulo3">
    <w:name w:val="Heading 3"/>
    <w:basedOn w:val="Normal"/>
    <w:next w:val="Normal"/>
    <w:link w:val="Ttulo3Char"/>
    <w:uiPriority w:val="9"/>
    <w:unhideWhenUsed/>
    <w:qFormat/>
    <w:rsid w:val="00841cd9"/>
    <w:pPr>
      <w:keepNext w:val="true"/>
      <w:keepLines/>
      <w:spacing w:before="200" w:after="120"/>
      <w:outlineLvl w:val="2"/>
    </w:pPr>
    <w:rPr>
      <w:rFonts w:ascii="Cambria" w:hAnsi="Cambria" w:eastAsia="" w:cs="" w:asciiTheme="majorHAnsi" w:cstheme="majorBidi" w:eastAsiaTheme="majorEastAsia" w:hAnsiTheme="majorHAnsi"/>
      <w:b/>
      <w:bCs/>
      <w:color w:val="4F81BD" w:themeColor="accent1"/>
    </w:rPr>
  </w:style>
  <w:style w:type="paragraph" w:styleId="Ttulo4">
    <w:name w:val="Heading 4"/>
    <w:basedOn w:val="Normal"/>
    <w:next w:val="Normal"/>
    <w:link w:val="Ttulo4Char"/>
    <w:uiPriority w:val="9"/>
    <w:unhideWhenUsed/>
    <w:qFormat/>
    <w:rsid w:val="00841cd9"/>
    <w:pPr>
      <w:keepNext w:val="true"/>
      <w:keepLines/>
      <w:spacing w:before="200" w:after="120"/>
      <w:outlineLvl w:val="3"/>
    </w:pPr>
    <w:rPr>
      <w:rFonts w:ascii="Cambria" w:hAnsi="Cambria"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41cd9"/>
    <w:rPr/>
  </w:style>
  <w:style w:type="character" w:styleId="Ttulo1Char" w:customStyle="1">
    <w:name w:val="Título 1 Char"/>
    <w:basedOn w:val="DefaultParagraphFont"/>
    <w:uiPriority w:val="9"/>
    <w:qFormat/>
    <w:rsid w:val="00841cd9"/>
    <w:rPr>
      <w:rFonts w:ascii="Cambria" w:hAnsi="Cambria" w:eastAsia="" w:cs="" w:asciiTheme="majorHAnsi" w:cstheme="majorBidi" w:eastAsiaTheme="majorEastAsia" w:hAnsiTheme="majorHAnsi"/>
      <w:b/>
      <w:bCs/>
      <w:color w:val="365F91" w:themeColor="accent1" w:themeShade="bf"/>
      <w:sz w:val="28"/>
      <w:szCs w:val="28"/>
    </w:rPr>
  </w:style>
  <w:style w:type="character" w:styleId="Ttulo2Char" w:customStyle="1">
    <w:name w:val="Título 2 Char"/>
    <w:basedOn w:val="DefaultParagraphFont"/>
    <w:uiPriority w:val="9"/>
    <w:qFormat/>
    <w:rsid w:val="00841cd9"/>
    <w:rPr>
      <w:rFonts w:ascii="Cambria" w:hAnsi="Cambria" w:eastAsia="" w:cs="" w:asciiTheme="majorHAnsi" w:cstheme="majorBidi" w:eastAsiaTheme="majorEastAsia" w:hAnsiTheme="majorHAnsi"/>
      <w:b/>
      <w:bCs/>
      <w:color w:val="4F81BD" w:themeColor="accent1"/>
      <w:sz w:val="26"/>
      <w:szCs w:val="26"/>
    </w:rPr>
  </w:style>
  <w:style w:type="character" w:styleId="Ttulo3Char" w:customStyle="1">
    <w:name w:val="Título 3 Char"/>
    <w:basedOn w:val="DefaultParagraphFont"/>
    <w:uiPriority w:val="9"/>
    <w:qFormat/>
    <w:rsid w:val="00841cd9"/>
    <w:rPr>
      <w:rFonts w:ascii="Cambria" w:hAnsi="Cambria" w:eastAsia="" w:cs="" w:asciiTheme="majorHAnsi" w:cstheme="majorBidi" w:eastAsiaTheme="majorEastAsia" w:hAnsiTheme="majorHAnsi"/>
      <w:b/>
      <w:bCs/>
      <w:color w:val="4F81BD" w:themeColor="accent1"/>
    </w:rPr>
  </w:style>
  <w:style w:type="character" w:styleId="Ttulo4Char" w:customStyle="1">
    <w:name w:val="Título 4 Char"/>
    <w:basedOn w:val="DefaultParagraphFont"/>
    <w:uiPriority w:val="9"/>
    <w:qFormat/>
    <w:rsid w:val="00841cd9"/>
    <w:rPr>
      <w:rFonts w:ascii="Cambria" w:hAnsi="Cambria" w:eastAsia="" w:cs="" w:asciiTheme="majorHAnsi" w:cstheme="majorBidi" w:eastAsiaTheme="majorEastAsia" w:hAnsiTheme="majorHAnsi"/>
      <w:b/>
      <w:bCs/>
      <w:i/>
      <w:iCs/>
      <w:color w:val="4F81BD" w:themeColor="accent1"/>
    </w:rPr>
  </w:style>
  <w:style w:type="character" w:styleId="SubttuloChar" w:customStyle="1">
    <w:name w:val="Subtítulo Char"/>
    <w:basedOn w:val="DefaultParagraphFont"/>
    <w:uiPriority w:val="11"/>
    <w:qFormat/>
    <w:rsid w:val="00841cd9"/>
    <w:rPr>
      <w:rFonts w:ascii="Cambria" w:hAnsi="Cambria" w:eastAsia="" w:cs="" w:asciiTheme="majorHAnsi" w:cstheme="majorBidi" w:eastAsiaTheme="majorEastAsia" w:hAnsiTheme="majorHAnsi"/>
      <w:i/>
      <w:iCs/>
      <w:color w:val="4F81BD" w:themeColor="accent1"/>
      <w:spacing w:val="15"/>
      <w:sz w:val="24"/>
      <w:szCs w:val="24"/>
    </w:rPr>
  </w:style>
  <w:style w:type="character" w:styleId="TtuloChar" w:customStyle="1">
    <w:name w:val="Título Char"/>
    <w:basedOn w:val="DefaultParagraphFont"/>
    <w:uiPriority w:val="10"/>
    <w:qFormat/>
    <w:rsid w:val="00841cd9"/>
    <w:rPr>
      <w:rFonts w:ascii="Cambria" w:hAnsi="Cambria" w:eastAsia="" w:cs="" w:asciiTheme="majorHAnsi" w:cstheme="majorBidi" w:eastAsiaTheme="majorEastAsia" w:hAnsiTheme="majorHAnsi"/>
      <w:color w:val="17365D" w:themeColor="text2" w:themeShade="bf"/>
      <w:spacing w:val="5"/>
      <w:kern w:val="2"/>
      <w:sz w:val="52"/>
      <w:szCs w:val="52"/>
    </w:rPr>
  </w:style>
  <w:style w:type="character" w:styleId="Nfase">
    <w:name w:val="Emphasis"/>
    <w:basedOn w:val="DefaultParagraphFont"/>
    <w:uiPriority w:val="20"/>
    <w:qFormat/>
    <w:rsid w:val="00d1197d"/>
    <w:rPr>
      <w:i/>
      <w:iCs/>
    </w:rPr>
  </w:style>
  <w:style w:type="character" w:styleId="LinkdaInternet" w:customStyle="1">
    <w:name w:val="Hyperlink"/>
    <w:basedOn w:val="DefaultParagraphFont"/>
    <w:uiPriority w:val="99"/>
    <w:unhideWhenUsed/>
    <w:rPr>
      <w:color w:val="0000FF" w:themeColor="hyperlink"/>
      <w:u w:val="single"/>
    </w:rPr>
  </w:style>
  <w:style w:type="character" w:styleId="TextodebaloChar" w:customStyle="1">
    <w:name w:val="Texto de balão Char"/>
    <w:basedOn w:val="DefaultParagraphFont"/>
    <w:link w:val="BalloonText"/>
    <w:uiPriority w:val="99"/>
    <w:semiHidden/>
    <w:qFormat/>
    <w:rsid w:val="004b2739"/>
    <w:rPr>
      <w:rFonts w:ascii="Tahoma" w:hAnsi="Tahoma" w:cs="Tahoma"/>
      <w:sz w:val="16"/>
      <w:szCs w:val="16"/>
      <w:lang w:val="pt-BR" w:eastAsia="pt-BR" w:bidi="pt-BR"/>
    </w:rPr>
  </w:style>
  <w:style w:type="character" w:styleId="RodapChar" w:customStyle="1">
    <w:name w:val="Rodapé Char"/>
    <w:basedOn w:val="DefaultParagraphFont"/>
    <w:uiPriority w:val="99"/>
    <w:qFormat/>
    <w:rsid w:val="00d85f4c"/>
    <w:rPr>
      <w:lang w:val="pt-BR" w:eastAsia="pt-BR" w:bidi="pt-BR"/>
    </w:rPr>
  </w:style>
  <w:style w:type="character" w:styleId="Fontepargpadro">
    <w:name w:val="Fonte parág. padrão"/>
    <w:qFormat/>
    <w:rPr/>
  </w:style>
  <w:style w:type="character" w:styleId="Strong">
    <w:name w:val="Strong"/>
    <w:qFormat/>
    <w:rPr>
      <w:b/>
      <w:bCs/>
    </w:rPr>
  </w:style>
  <w:style w:type="character" w:styleId="WWCharLFO3LVL1">
    <w:name w:val="WW_CharLFO3LVL1"/>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3LVL2">
    <w:name w:val="WW_CharLFO3LVL2"/>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3LVL3">
    <w:name w:val="WW_CharLFO3LVL3"/>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3LVL4">
    <w:name w:val="WW_CharLFO3LVL4"/>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3LVL5">
    <w:name w:val="WW_CharLFO3LVL5"/>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3LVL6">
    <w:name w:val="WW_CharLFO3LVL6"/>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3LVL7">
    <w:name w:val="WW_CharLFO3LVL7"/>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3LVL8">
    <w:name w:val="WW_CharLFO3LVL8"/>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3LVL9">
    <w:name w:val="WW_CharLFO3LVL9"/>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4LVL1">
    <w:name w:val="WW_CharLFO4LVL1"/>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4LVL2">
    <w:name w:val="WW_CharLFO4LVL2"/>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4LVL3">
    <w:name w:val="WW_CharLFO4LVL3"/>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4LVL4">
    <w:name w:val="WW_CharLFO4LVL4"/>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4LVL5">
    <w:name w:val="WW_CharLFO4LVL5"/>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4LVL6">
    <w:name w:val="WW_CharLFO4LVL6"/>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4LVL7">
    <w:name w:val="WW_CharLFO4LVL7"/>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4LVL8">
    <w:name w:val="WW_CharLFO4LVL8"/>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4LVL9">
    <w:name w:val="WW_CharLFO4LVL9"/>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5LVL1">
    <w:name w:val="WW_CharLFO5LVL1"/>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5LVL2">
    <w:name w:val="WW_CharLFO5LVL2"/>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5LVL3">
    <w:name w:val="WW_CharLFO5LVL3"/>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5LVL4">
    <w:name w:val="WW_CharLFO5LVL4"/>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5LVL5">
    <w:name w:val="WW_CharLFO5LVL5"/>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5LVL6">
    <w:name w:val="WW_CharLFO5LVL6"/>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5LVL7">
    <w:name w:val="WW_CharLFO5LVL7"/>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5LVL8">
    <w:name w:val="WW_CharLFO5LVL8"/>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5LVL9">
    <w:name w:val="WW_CharLFO5LVL9"/>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tulododocumento">
    <w:name w:val="Title"/>
    <w:basedOn w:val="Normal"/>
    <w:next w:val="Corpodotexto"/>
    <w:link w:val="TtuloChar"/>
    <w:uiPriority w:val="10"/>
    <w:qFormat/>
    <w:rsid w:val="00841cd9"/>
    <w:pPr>
      <w:pBdr>
        <w:bottom w:val="single" w:sz="8" w:space="4" w:color="4F81BD"/>
      </w:pBdr>
      <w:spacing w:before="120" w:after="300"/>
      <w:contextualSpacing/>
    </w:pPr>
    <w:rPr>
      <w:rFonts w:ascii="Cambria" w:hAnsi="Cambria" w:eastAsia="" w:cs="" w:asciiTheme="majorHAnsi" w:cstheme="majorBidi" w:eastAsiaTheme="majorEastAsia" w:hAnsiTheme="majorHAnsi"/>
      <w:color w:val="17365D" w:themeColor="text2" w:themeShade="bf"/>
      <w:spacing w:val="5"/>
      <w:kern w:val="2"/>
      <w:sz w:val="52"/>
      <w:szCs w:val="52"/>
    </w:rPr>
  </w:style>
  <w:style w:type="paragraph" w:styleId="Caption1">
    <w:name w:val="caption1"/>
    <w:basedOn w:val="Normal"/>
    <w:next w:val="Normal"/>
    <w:uiPriority w:val="35"/>
    <w:semiHidden/>
    <w:unhideWhenUsed/>
    <w:qFormat/>
    <w:rsid w:val="007109c0"/>
    <w:pPr/>
    <w:rPr>
      <w:b/>
      <w:bCs/>
      <w:color w:val="4F81BD" w:themeColor="accent1"/>
      <w:sz w:val="18"/>
      <w:szCs w:val="18"/>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
    <w:name w:val="Header"/>
    <w:basedOn w:val="Normal"/>
    <w:link w:val="CabealhoChar"/>
    <w:uiPriority w:val="99"/>
    <w:unhideWhenUsed/>
    <w:rsid w:val="00841cd9"/>
    <w:pPr>
      <w:tabs>
        <w:tab w:val="clear" w:pos="708"/>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ubttulo">
    <w:name w:val="Subtitle"/>
    <w:basedOn w:val="Normal"/>
    <w:next w:val="Normal"/>
    <w:link w:val="SubttuloChar"/>
    <w:uiPriority w:val="11"/>
    <w:qFormat/>
    <w:rsid w:val="00841cd9"/>
    <w:pPr>
      <w:ind w:left="86" w:hanging="0"/>
    </w:pPr>
    <w:rPr>
      <w:rFonts w:ascii="Cambria" w:hAnsi="Cambria" w:eastAsia="" w:cs="" w:asciiTheme="majorHAnsi" w:cstheme="majorBidi" w:eastAsiaTheme="majorEastAsia" w:hAnsiTheme="majorHAnsi"/>
      <w:i/>
      <w:iCs/>
      <w:color w:val="4F81BD" w:themeColor="accent1"/>
      <w:spacing w:val="15"/>
      <w:sz w:val="24"/>
      <w:szCs w:val="24"/>
    </w:rPr>
  </w:style>
  <w:style w:type="paragraph" w:styleId="BalloonText">
    <w:name w:val="Balloon Text"/>
    <w:basedOn w:val="Normal"/>
    <w:link w:val="TextodebaloChar"/>
    <w:uiPriority w:val="99"/>
    <w:semiHidden/>
    <w:unhideWhenUsed/>
    <w:qFormat/>
    <w:rsid w:val="004b2739"/>
    <w:pPr>
      <w:spacing w:before="0" w:after="0"/>
    </w:pPr>
    <w:rPr>
      <w:rFonts w:ascii="Tahoma" w:hAnsi="Tahoma" w:cs="Tahoma"/>
      <w:sz w:val="16"/>
      <w:szCs w:val="16"/>
    </w:rPr>
  </w:style>
  <w:style w:type="paragraph" w:styleId="ListParagraph">
    <w:name w:val="List Paragraph"/>
    <w:basedOn w:val="Normal"/>
    <w:uiPriority w:val="99"/>
    <w:unhideWhenUsed/>
    <w:qFormat/>
    <w:rsid w:val="00747357"/>
    <w:pPr>
      <w:spacing w:before="120" w:after="120"/>
      <w:ind w:left="720" w:hanging="0"/>
      <w:contextualSpacing/>
    </w:pPr>
    <w:rPr/>
  </w:style>
  <w:style w:type="paragraph" w:styleId="NormalWeb">
    <w:name w:val="Normal (Web)"/>
    <w:basedOn w:val="Normal"/>
    <w:uiPriority w:val="99"/>
    <w:semiHidden/>
    <w:unhideWhenUsed/>
    <w:qFormat/>
    <w:rsid w:val="0067246e"/>
    <w:pPr>
      <w:suppressAutoHyphens w:val="false"/>
      <w:spacing w:beforeAutospacing="1" w:afterAutospacing="1"/>
    </w:pPr>
    <w:rPr>
      <w:rFonts w:ascii="Times New Roman" w:hAnsi="Times New Roman" w:eastAsia="Times New Roman" w:cs="Times New Roman"/>
      <w:sz w:val="24"/>
      <w:szCs w:val="24"/>
      <w:lang w:bidi="ar-SA"/>
    </w:rPr>
  </w:style>
  <w:style w:type="paragraph" w:styleId="Rodap">
    <w:name w:val="Footer"/>
    <w:basedOn w:val="Normal"/>
    <w:link w:val="RodapChar"/>
    <w:uiPriority w:val="99"/>
    <w:unhideWhenUsed/>
    <w:rsid w:val="00d85f4c"/>
    <w:pPr>
      <w:tabs>
        <w:tab w:val="clear" w:pos="708"/>
        <w:tab w:val="center" w:pos="4252" w:leader="none"/>
        <w:tab w:val="right" w:pos="8504" w:leader="none"/>
      </w:tabs>
      <w:spacing w:before="0" w:after="0"/>
    </w:pPr>
    <w:rPr/>
  </w:style>
  <w:style w:type="paragraph" w:styleId="LO-Normal">
    <w:name w:val="LO-Normal"/>
    <w:qFormat/>
    <w:pPr>
      <w:widowControl/>
      <w:suppressAutoHyphens w:val="true"/>
      <w:bidi w:val="0"/>
      <w:spacing w:lineRule="auto" w:line="240" w:before="120" w:after="120"/>
      <w:jc w:val="left"/>
    </w:pPr>
    <w:rPr>
      <w:rFonts w:ascii="Calibri" w:hAnsi="Calibri" w:eastAsia="Calibri" w:cs="" w:asciiTheme="minorHAnsi" w:cstheme="minorBidi" w:eastAsiaTheme="minorHAnsi" w:hAnsiTheme="minorHAnsi"/>
      <w:color w:val="auto"/>
      <w:kern w:val="0"/>
      <w:sz w:val="22"/>
      <w:szCs w:val="22"/>
      <w:lang w:val="pt-BR" w:eastAsia="pt-BR" w:bidi="pt-BR"/>
    </w:rPr>
  </w:style>
  <w:style w:type="paragraph" w:styleId="LO-Normal0">
    <w:name w:val="LO-Normal0"/>
    <w:qFormat/>
    <w:pPr>
      <w:widowControl/>
      <w:suppressAutoHyphens w:val="true"/>
      <w:bidi w:val="0"/>
      <w:spacing w:lineRule="auto" w:line="240" w:before="120" w:after="120"/>
      <w:jc w:val="left"/>
    </w:pPr>
    <w:rPr>
      <w:rFonts w:ascii="Calibri" w:hAnsi="Calibri" w:eastAsia="Calibri" w:cs="" w:asciiTheme="minorHAnsi" w:cstheme="minorBidi" w:eastAsiaTheme="minorHAnsi" w:hAnsiTheme="minorHAnsi"/>
      <w:color w:val="auto"/>
      <w:kern w:val="0"/>
      <w:sz w:val="22"/>
      <w:szCs w:val="22"/>
      <w:lang w:val="pt-BR" w:eastAsia="pt-BR" w:bidi="pt-BR"/>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LO-Normal1">
    <w:name w:val="LO-Normal1"/>
    <w:qFormat/>
    <w:pPr>
      <w:widowControl/>
      <w:tabs>
        <w:tab w:val="clear" w:pos="708"/>
      </w:tabs>
      <w:suppressAutoHyphens w:val="true"/>
      <w:bidi w:val="0"/>
      <w:spacing w:lineRule="auto" w:line="264" w:before="0" w:after="218"/>
      <w:ind w:left="4700" w:right="298" w:hanging="5"/>
      <w:jc w:val="both"/>
    </w:pPr>
    <w:rPr>
      <w:rFonts w:ascii="Calibri" w:hAnsi="Calibri" w:eastAsia="Calibri" w:cs="Calibri" w:asciiTheme="minorHAnsi" w:eastAsiaTheme="minorHAnsi" w:hAnsiTheme="minorHAnsi"/>
      <w:color w:val="000000"/>
      <w:kern w:val="0"/>
      <w:sz w:val="22"/>
      <w:szCs w:val="22"/>
      <w:lang w:val="en-US" w:eastAsia="en-US" w:bidi="ar-SA"/>
    </w:rPr>
  </w:style>
  <w:style w:type="paragraph" w:styleId="LO-Normal2">
    <w:name w:val="LO-Normal2"/>
    <w:qFormat/>
    <w:pPr>
      <w:widowControl/>
      <w:tabs>
        <w:tab w:val="clear" w:pos="708"/>
      </w:tabs>
      <w:suppressAutoHyphens w:val="true"/>
      <w:bidi w:val="0"/>
      <w:spacing w:lineRule="auto" w:line="264" w:before="0" w:after="218"/>
      <w:ind w:left="4700" w:right="298" w:hanging="5"/>
      <w:jc w:val="both"/>
    </w:pPr>
    <w:rPr>
      <w:rFonts w:ascii="Calibri" w:hAnsi="Calibri" w:eastAsia="Calibri" w:cs="Calibri" w:asciiTheme="minorHAnsi" w:eastAsiaTheme="minorHAnsi" w:hAnsiTheme="minorHAnsi"/>
      <w:color w:val="000000"/>
      <w:kern w:val="0"/>
      <w:sz w:val="22"/>
      <w:szCs w:val="22"/>
      <w:lang w:val="en-US" w:eastAsia="en-US" w:bidi="ar-SA"/>
    </w:rPr>
  </w:style>
  <w:style w:type="paragraph" w:styleId="Default">
    <w:name w:val="Default"/>
    <w:qFormat/>
    <w:pPr>
      <w:widowControl/>
      <w:suppressAutoHyphens w:val="true"/>
      <w:bidi w:val="0"/>
      <w:spacing w:before="0" w:after="0"/>
      <w:jc w:val="left"/>
    </w:pPr>
    <w:rPr>
      <w:rFonts w:ascii="Calibri" w:hAnsi="Calibri" w:eastAsia="Calibri" w:cs=""/>
      <w:color w:val="000000"/>
      <w:kern w:val="0"/>
      <w:sz w:val="24"/>
      <w:szCs w:val="22"/>
      <w:lang w:val="en-US" w:eastAsia="en-US" w:bidi="ar-SA"/>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573</TotalTime>
  <Application>LibreOffice/7.5.2.2$Windows_X86_64 LibreOffice_project/53bb9681a964705cf672590721dbc85eb4d0c3a2</Application>
  <AppVersion>15.0000</AppVersion>
  <Pages>5</Pages>
  <Words>1321</Words>
  <Characters>7796</Characters>
  <CharactersWithSpaces>9064</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2026-03-27T11:34:00Z</dcterms:created>
  <dc:creator>Felipe Catani</dc:creator>
  <dc:description/>
  <dc:language>pt-BR</dc:language>
  <cp:lastModifiedBy/>
  <cp:lastPrinted>2023-05-16T09:59:38Z</cp:lastPrinted>
  <dcterms:modified xsi:type="dcterms:W3CDTF">2026-04-13T14:40:24Z</dcterms:modified>
  <cp:revision>186</cp:revision>
  <dc:subject/>
  <dc:title>about:blank</dc:title>
</cp:coreProperties>
</file>

<file path=docProps/custom.xml><?xml version="1.0" encoding="utf-8"?>
<Properties xmlns="http://schemas.openxmlformats.org/officeDocument/2006/custom-properties" xmlns:vt="http://schemas.openxmlformats.org/officeDocument/2006/docPropsVTypes"/>
</file>