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22" w:rsidRDefault="009E263E">
      <w:pPr>
        <w:pStyle w:val="Corpodetexto"/>
        <w:ind w:left="3951"/>
        <w:rPr>
          <w:rFonts w:ascii="Times New Roman" w:hAns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1269365" cy="9099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22" w:rsidRDefault="00FA6F22">
      <w:pPr>
        <w:pStyle w:val="Corpodetexto"/>
        <w:rPr>
          <w:rFonts w:ascii="Times New Roman" w:hAnsi="Times New Roman"/>
          <w:sz w:val="20"/>
        </w:rPr>
      </w:pPr>
    </w:p>
    <w:p w:rsidR="00FA6F22" w:rsidRDefault="00FA6F22">
      <w:pPr>
        <w:pStyle w:val="Corpodetexto"/>
        <w:rPr>
          <w:rFonts w:ascii="Arial" w:hAnsi="Arial"/>
        </w:rPr>
      </w:pPr>
    </w:p>
    <w:p w:rsidR="00FA6F22" w:rsidRDefault="009E263E">
      <w:pPr>
        <w:pStyle w:val="Corpodetexto"/>
        <w:spacing w:before="3"/>
        <w:jc w:val="center"/>
      </w:pPr>
      <w:r>
        <w:rPr>
          <w:rFonts w:ascii="Arial" w:hAnsi="Arial"/>
          <w:b/>
          <w:bCs/>
        </w:rPr>
        <w:t>Autógrafo 025/2022 ao PLO 108/2021</w:t>
      </w:r>
    </w:p>
    <w:p w:rsidR="00FA6F22" w:rsidRDefault="00FA6F22">
      <w:pPr>
        <w:pStyle w:val="Corpodetexto"/>
        <w:spacing w:before="3"/>
        <w:jc w:val="center"/>
        <w:rPr>
          <w:rFonts w:ascii="Arial" w:hAnsi="Arial"/>
        </w:rPr>
      </w:pPr>
    </w:p>
    <w:p w:rsidR="00FA6F22" w:rsidRDefault="005D08F1">
      <w:pPr>
        <w:pStyle w:val="Corpodetexto"/>
        <w:spacing w:before="93" w:line="276" w:lineRule="auto"/>
        <w:ind w:left="4640" w:right="112"/>
        <w:jc w:val="both"/>
        <w:rPr>
          <w:rFonts w:ascii="Calibri" w:hAnsi="Calibri"/>
          <w:color w:val="000000"/>
          <w:sz w:val="22"/>
        </w:rPr>
      </w:pPr>
      <w:r w:rsidRPr="005D08F1">
        <w:rPr>
          <w:rFonts w:ascii="Calibri" w:hAnsi="Calibri"/>
          <w:color w:val="000000"/>
          <w:sz w:val="22"/>
        </w:rPr>
        <w:t>Fica desafetado, sendo convertido em bem dominical, fração ideal de bem imóvel pertencente ao município de Gramado, concedendo permissão de uso e dá outras providências</w:t>
      </w:r>
      <w:r>
        <w:rPr>
          <w:rFonts w:ascii="Calibri" w:hAnsi="Calibri"/>
          <w:color w:val="000000"/>
          <w:sz w:val="22"/>
        </w:rPr>
        <w:t xml:space="preserve"> </w:t>
      </w:r>
      <w:r w:rsidR="009E263E" w:rsidRPr="009E263E">
        <w:rPr>
          <w:rFonts w:ascii="Calibri" w:hAnsi="Calibri"/>
          <w:color w:val="000000"/>
          <w:sz w:val="22"/>
        </w:rPr>
        <w:t>- juntamente com a Mensagem Retificativa 040/2021.</w:t>
      </w:r>
    </w:p>
    <w:p w:rsidR="009E263E" w:rsidRPr="00503521" w:rsidRDefault="009E263E" w:rsidP="009E263E">
      <w:pPr>
        <w:pStyle w:val="Corpodetexto"/>
        <w:spacing w:before="93" w:line="276" w:lineRule="auto"/>
        <w:ind w:right="112"/>
        <w:jc w:val="both"/>
        <w:rPr>
          <w:sz w:val="22"/>
        </w:rPr>
      </w:pPr>
      <w:bookmarkStart w:id="0" w:name="_GoBack"/>
      <w:bookmarkEnd w:id="0"/>
    </w:p>
    <w:p w:rsidR="009E263E" w:rsidRPr="009E263E" w:rsidRDefault="009E263E" w:rsidP="009E263E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Art. 1º </w:t>
      </w:r>
      <w:r w:rsidRPr="009E263E">
        <w:rPr>
          <w:rFonts w:ascii="Arial" w:hAnsi="Arial"/>
          <w:color w:val="000000"/>
        </w:rPr>
        <w:t>Fica desafetado, sendo convertido em bem dominical, fração ideal de bem imóvel pertencente ao município de Gramado, de acordo com o croqui anexo e matrícula nº 3.775, conforme transcrição a seguir: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color w:val="000000"/>
        </w:rPr>
        <w:t>IMÓVEL: um terreno, de forma triangular, com a área superficial d</w:t>
      </w:r>
      <w:r>
        <w:rPr>
          <w:rFonts w:ascii="Arial" w:hAnsi="Arial"/>
          <w:color w:val="000000"/>
        </w:rPr>
        <w:t>e duzentos e noventa e seis metros quadrados (296m</w:t>
      </w:r>
      <w:r w:rsidRPr="009E263E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), sem benfeitorias, medindo 27,65 metros de frente à Avenida Borges de Medeiros e 25,60 metros de frente à </w:t>
      </w:r>
      <w:proofErr w:type="gramStart"/>
      <w:r>
        <w:rPr>
          <w:rFonts w:ascii="Arial" w:hAnsi="Arial"/>
          <w:color w:val="000000"/>
        </w:rPr>
        <w:t>rua</w:t>
      </w:r>
      <w:proofErr w:type="gramEnd"/>
      <w:r>
        <w:rPr>
          <w:rFonts w:ascii="Arial" w:hAnsi="Arial"/>
          <w:color w:val="000000"/>
        </w:rPr>
        <w:t xml:space="preserve"> Ângelo Bisol, e limitando no outro lado, onde mede 10,50 metros, com terreno de Ernesto Masotti (fls. 107 do livro 3-H,  registrado sob nº 3.775).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Art. 2º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Fica o Poder Executivo Municipal autorizado, mediante instrução de processo de inexigibilidade de licitação, nos termos da Lei Federal nº 8.666, de 21 de junho de 1993, a celebrar termos de permissão de uso onerosa e não </w:t>
      </w:r>
      <w:proofErr w:type="gramStart"/>
      <w:r>
        <w:rPr>
          <w:rFonts w:ascii="Arial" w:hAnsi="Arial"/>
          <w:color w:val="000000"/>
        </w:rPr>
        <w:t>onerosa de parcela ideal do bem imóvel desafetado e descrito no artigo 1º, assim caracterizado em dois módulos</w:t>
      </w:r>
      <w:proofErr w:type="gramEnd"/>
      <w:r>
        <w:rPr>
          <w:rFonts w:ascii="Arial" w:hAnsi="Arial"/>
          <w:color w:val="000000"/>
        </w:rPr>
        <w:t>: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I -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Módulo um: com área de 34,00m</w:t>
      </w:r>
      <w:r w:rsidRPr="009E263E">
        <w:rPr>
          <w:rFonts w:ascii="Arial" w:hAnsi="Arial"/>
          <w:color w:val="000000"/>
        </w:rPr>
        <w:t xml:space="preserve">2 </w:t>
      </w:r>
      <w:r>
        <w:rPr>
          <w:rFonts w:ascii="Arial" w:hAnsi="Arial"/>
          <w:color w:val="000000"/>
        </w:rPr>
        <w:t xml:space="preserve">(oneroso), conforme croqui, que integra a presente Lei; 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II -</w:t>
      </w:r>
      <w:r w:rsidRPr="009E263E"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Módulo dois</w:t>
      </w:r>
      <w:proofErr w:type="gramEnd"/>
      <w:r>
        <w:rPr>
          <w:rFonts w:ascii="Arial" w:hAnsi="Arial"/>
          <w:color w:val="000000"/>
        </w:rPr>
        <w:t>: com área de 113,47m</w:t>
      </w:r>
      <w:r w:rsidRPr="009E263E">
        <w:rPr>
          <w:rFonts w:ascii="Arial" w:hAnsi="Arial"/>
          <w:color w:val="000000"/>
        </w:rPr>
        <w:t xml:space="preserve">2 </w:t>
      </w:r>
      <w:r>
        <w:rPr>
          <w:rFonts w:ascii="Arial" w:hAnsi="Arial"/>
          <w:color w:val="000000"/>
        </w:rPr>
        <w:t>(não oneroso), conforme croqui, que integra a presente Lei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Art. 3º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O módulo do imóvel descrito no inciso I do artigo 2º </w:t>
      </w:r>
      <w:proofErr w:type="gramStart"/>
      <w:r>
        <w:rPr>
          <w:rFonts w:ascii="Arial" w:hAnsi="Arial"/>
          <w:color w:val="000000"/>
        </w:rPr>
        <w:t>da presente</w:t>
      </w:r>
      <w:proofErr w:type="gramEnd"/>
      <w:r>
        <w:rPr>
          <w:rFonts w:ascii="Arial" w:hAnsi="Arial"/>
          <w:color w:val="000000"/>
        </w:rPr>
        <w:t xml:space="preserve"> Lei destina-se, exclusivamente, ao uso de estabelecimentos comerciais, no ramo da gastronomia, devidamente </w:t>
      </w:r>
      <w:proofErr w:type="gramStart"/>
      <w:r>
        <w:rPr>
          <w:rFonts w:ascii="Arial" w:hAnsi="Arial"/>
          <w:color w:val="000000"/>
        </w:rPr>
        <w:t>instalados</w:t>
      </w:r>
      <w:proofErr w:type="gramEnd"/>
      <w:r>
        <w:rPr>
          <w:rFonts w:ascii="Arial" w:hAnsi="Arial"/>
          <w:color w:val="000000"/>
        </w:rPr>
        <w:t>, licenciados e com projeto arquitetônico aprovado pela autoridade Municipal.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Parágrafo único.</w:t>
      </w:r>
      <w:r>
        <w:rPr>
          <w:rFonts w:ascii="Arial" w:hAnsi="Arial"/>
          <w:color w:val="000000"/>
        </w:rPr>
        <w:t xml:space="preserve"> Fica vedada a manipulação e produção de alimentos no imóvel previsto no caput do artigo 2º desta Lei.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Art. 4º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O módulo do imóvel descrito no inciso II do artigo 2º </w:t>
      </w:r>
      <w:proofErr w:type="gramStart"/>
      <w:r>
        <w:rPr>
          <w:rFonts w:ascii="Arial" w:hAnsi="Arial"/>
          <w:color w:val="000000"/>
        </w:rPr>
        <w:t>da presente</w:t>
      </w:r>
      <w:proofErr w:type="gramEnd"/>
      <w:r>
        <w:rPr>
          <w:rFonts w:ascii="Arial" w:hAnsi="Arial"/>
          <w:color w:val="000000"/>
        </w:rPr>
        <w:t xml:space="preserve"> Lei, destina-se exclusivamente à Entidade Filantrópica sem fins lucrativos, Clube de Serviços Lions Clube de Gramado, que ficará responsável pela manutenção, ajardinamento e conservação do monumento ali instalado.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Parágrafo único.</w:t>
      </w:r>
      <w:r>
        <w:rPr>
          <w:rFonts w:ascii="Arial" w:hAnsi="Arial"/>
          <w:color w:val="000000"/>
        </w:rPr>
        <w:t xml:space="preserve"> Em razão </w:t>
      </w:r>
      <w:proofErr w:type="gramStart"/>
      <w:r>
        <w:rPr>
          <w:rFonts w:ascii="Arial" w:hAnsi="Arial"/>
          <w:color w:val="000000"/>
        </w:rPr>
        <w:t>da presente</w:t>
      </w:r>
      <w:proofErr w:type="gramEnd"/>
      <w:r>
        <w:rPr>
          <w:rFonts w:ascii="Arial" w:hAnsi="Arial"/>
          <w:color w:val="000000"/>
        </w:rPr>
        <w:t xml:space="preserve"> permissão será possibilitada a permanência do monumento do Lions Clube já instituído no local.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Art. 5º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As permissões tratadas nesta Lei serão realizadas pelo prazo de </w:t>
      </w:r>
      <w:proofErr w:type="gramStart"/>
      <w:r>
        <w:rPr>
          <w:rFonts w:ascii="Arial" w:hAnsi="Arial"/>
          <w:color w:val="000000"/>
        </w:rPr>
        <w:t>4</w:t>
      </w:r>
      <w:proofErr w:type="gramEnd"/>
      <w:r>
        <w:rPr>
          <w:rFonts w:ascii="Arial" w:hAnsi="Arial"/>
          <w:color w:val="000000"/>
        </w:rPr>
        <w:t xml:space="preserve"> (quatro) anos, a contar da data de assinatura do instrumento contratual, admitida a prorrogação por igual período, mediante acordo entre as partes.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Art. 6º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O valor da permissão onerosa de uso por metro quadrado permitido descrito no art. 2º </w:t>
      </w:r>
      <w:proofErr w:type="gramStart"/>
      <w:r>
        <w:rPr>
          <w:rFonts w:ascii="Arial" w:hAnsi="Arial"/>
          <w:color w:val="000000"/>
        </w:rPr>
        <w:t>da presente</w:t>
      </w:r>
      <w:proofErr w:type="gramEnd"/>
      <w:r>
        <w:rPr>
          <w:rFonts w:ascii="Arial" w:hAnsi="Arial"/>
          <w:color w:val="000000"/>
        </w:rPr>
        <w:t xml:space="preserve"> Lei, a ser pago para o Município pelo estabelecimento comercial que utilizar o espaço físico, será fixado pelo Permitente, em conformidade com laudo técnico de avaliação elaborado por servidor efetivo da Secretaria Municipal de Planejamento, Urbanismo, Publicidade e Defesa Civil.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Art. 7º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As normas regulamentadoras para a permissão de uso da área mencionada </w:t>
      </w:r>
      <w:proofErr w:type="gramStart"/>
      <w:r>
        <w:rPr>
          <w:rFonts w:ascii="Arial" w:hAnsi="Arial"/>
          <w:color w:val="000000"/>
        </w:rPr>
        <w:t>na presente</w:t>
      </w:r>
      <w:proofErr w:type="gramEnd"/>
      <w:r>
        <w:rPr>
          <w:rFonts w:ascii="Arial" w:hAnsi="Arial"/>
          <w:color w:val="000000"/>
        </w:rPr>
        <w:t xml:space="preserve"> lei serão regidas através de instrumento contratual, que integra a presente Lei.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Art. 8º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Serão de responsabilidade do Permissionário todas as despesas de manutenção e conservação do módulo do imóvel enquanto perdurar o contrato de permissão, inclusive as despesas com o eventual cercamento autorizado pelo Poder Executivo.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lastRenderedPageBreak/>
        <w:t>Parágrafo único.</w:t>
      </w:r>
      <w:r>
        <w:rPr>
          <w:rFonts w:ascii="Arial" w:hAnsi="Arial"/>
          <w:color w:val="000000"/>
        </w:rPr>
        <w:t xml:space="preserve"> Findo o contrato de permissão, o imóvel deverá ser devolvido ao Município nas condições em que o Permissionário o recebeu, sem que caiba qualquer tipo de indenização ou retenção do mesmo.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Art. 9º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O contrato de permissão de uso será firmado entre o Município e proprietário do imóvel da testada.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§ 1º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Além do proprietário, o locatário poderá firmar Contrato de Permissão de Uso com o Município, desde que tenha anuência do primeiro, e apresente Contrato de Locação válido e pelo mesmo prazo do contrato de permissão, superior a ele ou </w:t>
      </w:r>
      <w:proofErr w:type="gramStart"/>
      <w:r>
        <w:rPr>
          <w:rFonts w:ascii="Arial" w:hAnsi="Arial"/>
          <w:color w:val="000000"/>
        </w:rPr>
        <w:t>por por</w:t>
      </w:r>
      <w:proofErr w:type="gramEnd"/>
      <w:r>
        <w:rPr>
          <w:rFonts w:ascii="Arial" w:hAnsi="Arial"/>
          <w:color w:val="000000"/>
        </w:rPr>
        <w:t xml:space="preserve"> prazo indeterminado.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§ 2º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 anuência prevista no parágrafo anterior poderá ser substituída por hipoteca legal.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§ 3º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O proprietário e o locatário serão solidariamente sujeitos passivos das obrigações contratuais decorrentes do contrato de Permissão de Uso anexo a esta Lei.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Art. 10.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O permissionário</w:t>
      </w:r>
      <w:proofErr w:type="gramStart"/>
      <w:r>
        <w:rPr>
          <w:rFonts w:ascii="Arial" w:hAnsi="Arial"/>
          <w:color w:val="000000"/>
        </w:rPr>
        <w:t>, se compromete</w:t>
      </w:r>
      <w:proofErr w:type="gramEnd"/>
      <w:r>
        <w:rPr>
          <w:rFonts w:ascii="Arial" w:hAnsi="Arial"/>
          <w:color w:val="000000"/>
        </w:rPr>
        <w:t xml:space="preserve"> a restituir a área utilizada em perfeitas condições findo ou rescindido o Contrato.</w:t>
      </w:r>
    </w:p>
    <w:p w:rsidR="009E263E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Art. 11.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Fica autorizado ao permissionário, com prévia anuência do Poder Executivo, realizar obras de infraestrutura, observadas as demais normas locais incidentes.</w:t>
      </w:r>
    </w:p>
    <w:p w:rsidR="00FA6F22" w:rsidRDefault="009E263E" w:rsidP="009E263E">
      <w:pPr>
        <w:spacing w:before="120"/>
        <w:ind w:firstLine="720"/>
        <w:jc w:val="both"/>
        <w:rPr>
          <w:rFonts w:ascii="Arial" w:hAnsi="Arial"/>
          <w:color w:val="000000"/>
        </w:rPr>
      </w:pPr>
      <w:r w:rsidRPr="009E263E">
        <w:rPr>
          <w:rFonts w:ascii="Arial" w:hAnsi="Arial"/>
          <w:b/>
          <w:color w:val="000000"/>
        </w:rPr>
        <w:t>Art. 12.</w:t>
      </w:r>
      <w:r w:rsidRPr="009E263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Esta Lei poderá ser regulamentada por Decreto, no que </w:t>
      </w:r>
      <w:proofErr w:type="gramStart"/>
      <w:r>
        <w:rPr>
          <w:rFonts w:ascii="Arial" w:hAnsi="Arial"/>
          <w:color w:val="000000"/>
        </w:rPr>
        <w:t>couber</w:t>
      </w:r>
      <w:proofErr w:type="gramEnd"/>
    </w:p>
    <w:p w:rsidR="00FA6F22" w:rsidRDefault="009E263E">
      <w:pPr>
        <w:spacing w:before="120"/>
        <w:ind w:firstLine="720"/>
        <w:jc w:val="both"/>
      </w:pPr>
      <w:r>
        <w:rPr>
          <w:rFonts w:ascii="Arial" w:hAnsi="Arial"/>
          <w:b/>
          <w:color w:val="000000"/>
        </w:rPr>
        <w:t>Art. 13.</w:t>
      </w:r>
      <w:r>
        <w:rPr>
          <w:rFonts w:ascii="Arial" w:hAnsi="Arial"/>
          <w:color w:val="000000"/>
        </w:rPr>
        <w:t xml:space="preserve"> Esta lei entra em vigor na data de sua publicação.</w:t>
      </w:r>
    </w:p>
    <w:p w:rsidR="00FA6F22" w:rsidRDefault="00FA6F22">
      <w:pPr>
        <w:ind w:firstLine="720"/>
        <w:jc w:val="both"/>
      </w:pPr>
    </w:p>
    <w:p w:rsidR="00FA6F22" w:rsidRDefault="009E263E">
      <w:pPr>
        <w:pStyle w:val="Corpodetexto"/>
        <w:jc w:val="center"/>
      </w:pPr>
      <w:r>
        <w:t>Gramado,</w:t>
      </w:r>
      <w:r>
        <w:rPr>
          <w:spacing w:val="-2"/>
        </w:rPr>
        <w:t xml:space="preserve"> 2</w:t>
      </w:r>
      <w:r w:rsidR="00503521">
        <w:rPr>
          <w:spacing w:val="-2"/>
        </w:rPr>
        <w:t>8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março</w:t>
      </w:r>
      <w:r>
        <w:t xml:space="preserve"> de</w:t>
      </w:r>
      <w:r>
        <w:rPr>
          <w:spacing w:val="1"/>
        </w:rPr>
        <w:t xml:space="preserve"> 2</w:t>
      </w:r>
      <w:r>
        <w:t>022.</w:t>
      </w:r>
    </w:p>
    <w:p w:rsidR="00FA6F22" w:rsidRDefault="00FA6F22">
      <w:pPr>
        <w:pStyle w:val="Corpodetexto"/>
        <w:spacing w:before="9"/>
        <w:rPr>
          <w:sz w:val="21"/>
        </w:rPr>
      </w:pPr>
    </w:p>
    <w:p w:rsidR="00FA6F22" w:rsidRDefault="00FA6F22">
      <w:pPr>
        <w:pStyle w:val="Corpodetexto"/>
        <w:spacing w:before="9"/>
        <w:rPr>
          <w:sz w:val="21"/>
        </w:rPr>
      </w:pPr>
    </w:p>
    <w:p w:rsidR="00FA6F22" w:rsidRDefault="009E263E">
      <w:pPr>
        <w:pStyle w:val="Ttulo"/>
        <w:spacing w:line="276" w:lineRule="auto"/>
        <w:ind w:left="0" w:right="0"/>
        <w:rPr>
          <w:spacing w:val="1"/>
        </w:rPr>
      </w:pPr>
      <w:r>
        <w:t>Nestor Tissot</w:t>
      </w:r>
    </w:p>
    <w:p w:rsidR="00FA6F22" w:rsidRDefault="009E263E">
      <w:pPr>
        <w:pStyle w:val="Ttulo"/>
        <w:spacing w:line="276" w:lineRule="auto"/>
        <w:ind w:left="0" w:right="0"/>
        <w:rPr>
          <w:b w:val="0"/>
          <w:sz w:val="26"/>
        </w:rPr>
      </w:pPr>
      <w:r>
        <w:t>Prefeito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Gramado</w:t>
      </w:r>
    </w:p>
    <w:p w:rsidR="00FA6F22" w:rsidRDefault="009E263E">
      <w:pPr>
        <w:spacing w:before="56"/>
        <w:ind w:left="932" w:right="1562" w:firstLine="400"/>
      </w:pPr>
      <w:r>
        <w:rPr>
          <w:rFonts w:ascii="Calibri" w:hAnsi="Calibri"/>
          <w:i/>
          <w:color w:val="1F3862"/>
        </w:rPr>
        <w:t>Rua São Pedro, nº 369, Bairro Centro - Gramado/RS CEP 95.670-000</w:t>
      </w:r>
      <w:r>
        <w:rPr>
          <w:rFonts w:ascii="Calibri" w:hAnsi="Calibri"/>
          <w:i/>
          <w:color w:val="1F3862"/>
          <w:spacing w:val="1"/>
        </w:rPr>
        <w:t xml:space="preserve"> </w:t>
      </w:r>
      <w:r>
        <w:rPr>
          <w:rFonts w:ascii="Calibri" w:hAnsi="Calibri"/>
          <w:i/>
          <w:color w:val="1F3862"/>
        </w:rPr>
        <w:t>Fone:</w:t>
      </w:r>
      <w:r>
        <w:rPr>
          <w:rFonts w:ascii="Calibri" w:hAnsi="Calibri"/>
          <w:i/>
          <w:color w:val="1F3862"/>
          <w:spacing w:val="-3"/>
        </w:rPr>
        <w:t xml:space="preserve"> </w:t>
      </w:r>
      <w:r>
        <w:rPr>
          <w:rFonts w:ascii="Calibri" w:hAnsi="Calibri"/>
          <w:i/>
          <w:color w:val="1F3862"/>
        </w:rPr>
        <w:t>(54)</w:t>
      </w:r>
      <w:r>
        <w:rPr>
          <w:rFonts w:ascii="Calibri" w:hAnsi="Calibri"/>
          <w:i/>
          <w:color w:val="1F3862"/>
          <w:spacing w:val="-2"/>
        </w:rPr>
        <w:t xml:space="preserve"> </w:t>
      </w:r>
      <w:r>
        <w:rPr>
          <w:rFonts w:ascii="Calibri" w:hAnsi="Calibri"/>
          <w:i/>
          <w:color w:val="1F3862"/>
        </w:rPr>
        <w:t>3295-7000</w:t>
      </w:r>
      <w:r>
        <w:rPr>
          <w:rFonts w:ascii="Calibri" w:hAnsi="Calibri"/>
          <w:i/>
          <w:color w:val="1F3862"/>
          <w:spacing w:val="-2"/>
        </w:rPr>
        <w:t xml:space="preserve"> </w:t>
      </w:r>
      <w:r>
        <w:rPr>
          <w:rFonts w:ascii="Calibri" w:hAnsi="Calibri"/>
          <w:i/>
          <w:color w:val="1F3862"/>
        </w:rPr>
        <w:t>-</w:t>
      </w:r>
      <w:r>
        <w:rPr>
          <w:rFonts w:ascii="Calibri" w:hAnsi="Calibri"/>
          <w:i/>
          <w:color w:val="1F3862"/>
          <w:spacing w:val="-2"/>
        </w:rPr>
        <w:t xml:space="preserve"> </w:t>
      </w:r>
      <w:hyperlink r:id="rId7">
        <w:r>
          <w:rPr>
            <w:rStyle w:val="ListLabel2"/>
          </w:rPr>
          <w:t xml:space="preserve">camara@gramado.rs.leg.br </w:t>
        </w:r>
      </w:hyperlink>
      <w:r>
        <w:rPr>
          <w:rFonts w:ascii="Calibri" w:hAnsi="Calibri"/>
          <w:i/>
          <w:color w:val="1F3862"/>
        </w:rPr>
        <w:t>-</w:t>
      </w:r>
      <w:r>
        <w:rPr>
          <w:rFonts w:ascii="Calibri" w:hAnsi="Calibri"/>
          <w:i/>
          <w:color w:val="1F3862"/>
          <w:spacing w:val="-4"/>
        </w:rPr>
        <w:t xml:space="preserve"> </w:t>
      </w:r>
      <w:hyperlink r:id="rId8">
        <w:r>
          <w:rPr>
            <w:rStyle w:val="ListLabel1"/>
          </w:rPr>
          <w:t>www.gramado.rs.leg.br</w:t>
        </w:r>
      </w:hyperlink>
    </w:p>
    <w:sectPr w:rsidR="00FA6F22">
      <w:pgSz w:w="11906" w:h="16838"/>
      <w:pgMar w:top="340" w:right="900" w:bottom="280" w:left="16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6F22"/>
    <w:rsid w:val="00503521"/>
    <w:rsid w:val="005D08F1"/>
    <w:rsid w:val="009E263E"/>
    <w:rsid w:val="00F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sz w:val="22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07CA"/>
    <w:pPr>
      <w:keepNext/>
      <w:keepLines/>
      <w:widowControl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i/>
      <w:color w:val="1F3862"/>
      <w:sz w:val="22"/>
    </w:rPr>
  </w:style>
  <w:style w:type="character" w:customStyle="1" w:styleId="ListLabel2">
    <w:name w:val="ListLabel 2"/>
    <w:qFormat/>
    <w:rPr>
      <w:rFonts w:ascii="Calibri" w:hAnsi="Calibri"/>
      <w:i/>
      <w:color w:val="1F3862"/>
      <w:spacing w:val="-1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839DF"/>
    <w:rPr>
      <w:rFonts w:ascii="Tahoma" w:eastAsia="Arial MT" w:hAnsi="Tahoma" w:cs="Tahoma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qFormat/>
    <w:rsid w:val="006907C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pt-BR" w:eastAsia="pt-BR" w:bidi="pt-BR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styleId="Ttulo">
    <w:name w:val="Title"/>
    <w:basedOn w:val="Normal"/>
    <w:next w:val="Corpodetexto"/>
    <w:uiPriority w:val="1"/>
    <w:qFormat/>
    <w:pPr>
      <w:ind w:left="3173" w:right="3868" w:firstLine="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839D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sz w:val="22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07CA"/>
    <w:pPr>
      <w:keepNext/>
      <w:keepLines/>
      <w:widowControl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i/>
      <w:color w:val="1F3862"/>
      <w:sz w:val="22"/>
    </w:rPr>
  </w:style>
  <w:style w:type="character" w:customStyle="1" w:styleId="ListLabel2">
    <w:name w:val="ListLabel 2"/>
    <w:qFormat/>
    <w:rPr>
      <w:rFonts w:ascii="Calibri" w:hAnsi="Calibri"/>
      <w:i/>
      <w:color w:val="1F3862"/>
      <w:spacing w:val="-1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839DF"/>
    <w:rPr>
      <w:rFonts w:ascii="Tahoma" w:eastAsia="Arial MT" w:hAnsi="Tahoma" w:cs="Tahoma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qFormat/>
    <w:rsid w:val="006907C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pt-BR" w:eastAsia="pt-BR" w:bidi="pt-BR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styleId="Ttulo">
    <w:name w:val="Title"/>
    <w:basedOn w:val="Normal"/>
    <w:next w:val="Corpodetexto"/>
    <w:uiPriority w:val="1"/>
    <w:qFormat/>
    <w:pPr>
      <w:ind w:left="3173" w:right="3868" w:firstLine="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839D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ado.rs.leg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mara@gramado.rs.le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660E-2FF0-432C-BE4E-11D74E4D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Redação PLO 007.2021</vt:lpstr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Redação PLO 007.2021</dc:title>
  <dc:creator>felipe.catani</dc:creator>
  <cp:lastModifiedBy>Felipe Catani</cp:lastModifiedBy>
  <cp:revision>3</cp:revision>
  <dcterms:created xsi:type="dcterms:W3CDTF">2022-03-28T20:05:00Z</dcterms:created>
  <dcterms:modified xsi:type="dcterms:W3CDTF">2022-03-28T20:08:00Z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2021-03-15T00:00:00Z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2021-04-07T00:00:00Z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