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media/image1.png" ContentType="image/png"/>
  <Override PartName="/word/media/image2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footer1.xml.rels" ContentType="application/vnd.openxmlformats-package.relationships+xml"/>
  <Override PartName="/word/_rels/document.xml.rels" ContentType="application/vnd.openxmlformats-package.relationships+xml"/>
  <Override PartName="/word/_rels/header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exact" w:line="300" w:before="0" w:after="360"/>
        <w:jc w:val="both"/>
        <w:rPr>
          <w:shd w:fill="auto" w:val="clear"/>
        </w:rPr>
      </w:pPr>
      <w:r>
        <w:rPr>
          <w:rFonts w:eastAsia="Arial" w:cs="Arial"/>
          <w:b/>
          <w:bCs/>
          <w:sz w:val="22"/>
          <w:szCs w:val="22"/>
          <w:shd w:fill="auto" w:val="clear"/>
        </w:rPr>
        <w:t>EXCELENTÍSSIMO SENHOR DOUTOR JUIZ DE DIREITO DA VARA REGIONAL EMPRESARIAL DA COMARCA DE CAXIAS DO SUL – ESTADO DO RIO GRANDE DO SUL</w:t>
      </w:r>
    </w:p>
    <w:p>
      <w:pPr>
        <w:pStyle w:val="Normal"/>
        <w:spacing w:lineRule="exact" w:line="300" w:before="0" w:after="60"/>
        <w:jc w:val="left"/>
        <w:rPr>
          <w:shd w:fill="auto" w:val="clear"/>
        </w:rPr>
      </w:pPr>
      <w:r>
        <w:rPr>
          <w:rFonts w:eastAsia="Arial" w:cs="Arial"/>
          <w:b/>
          <w:bCs/>
          <w:sz w:val="22"/>
          <w:szCs w:val="22"/>
          <w:shd w:fill="auto" w:val="clear"/>
        </w:rPr>
        <w:t>Processo nº 5007531-46.2021.8.21.0005/RS</w:t>
      </w:r>
    </w:p>
    <w:p>
      <w:pPr>
        <w:pStyle w:val="Normal"/>
        <w:spacing w:lineRule="exact" w:line="300" w:before="0" w:after="60"/>
        <w:jc w:val="both"/>
        <w:rPr>
          <w:shd w:fill="auto" w:val="clear"/>
        </w:rPr>
      </w:pPr>
      <w:r>
        <w:rPr>
          <w:rFonts w:eastAsia="Arial" w:cs="Arial"/>
          <w:b/>
          <w:bCs/>
          <w:sz w:val="22"/>
          <w:szCs w:val="22"/>
          <w:shd w:fill="auto" w:val="clear"/>
        </w:rPr>
        <w:t xml:space="preserve">Falência de: </w:t>
      </w:r>
      <w:r>
        <w:rPr>
          <w:rFonts w:eastAsia="Arial" w:cs="Arial"/>
          <w:sz w:val="22"/>
          <w:szCs w:val="22"/>
          <w:shd w:fill="auto" w:val="clear"/>
        </w:rPr>
        <w:t>COZY INDÚSTRIA E COMÉRCIO DE MÓVEIS LTDA, CAPO INDÚSTRIA E COMÉRCIO DE MÓVEIS S/A, CZ COMÉRCIO DE MÓVEIS LTDA, DEIVID EMPREENDIMENTOS IMOBILIÁRIOS EIRELI, DTL PARTICIPAÇÕES SOCIETÁRIAS LTDA, DITÁLIA PRODUÇÃO E LOGÍSTICA LTDA e DITÁLIA MÓVEIS INDUSTRIAL LTDA (Grupo D’Itália)</w:t>
      </w:r>
    </w:p>
    <w:p>
      <w:pPr>
        <w:pStyle w:val="Normal"/>
        <w:spacing w:lineRule="exact" w:line="300" w:before="0" w:after="360"/>
        <w:jc w:val="both"/>
        <w:rPr>
          <w:shd w:fill="auto" w:val="clear"/>
        </w:rPr>
      </w:pPr>
      <w:r>
        <w:rPr>
          <w:rFonts w:eastAsia="Arial" w:cs="Arial"/>
          <w:b/>
          <w:bCs/>
          <w:sz w:val="22"/>
          <w:szCs w:val="22"/>
          <w:shd w:fill="auto" w:val="clear"/>
        </w:rPr>
        <w:t xml:space="preserve">Administração Judicial: </w:t>
      </w:r>
      <w:r>
        <w:rPr>
          <w:rFonts w:eastAsia="Arial" w:cs="Arial"/>
          <w:sz w:val="22"/>
          <w:szCs w:val="22"/>
          <w:shd w:fill="auto" w:val="clear"/>
        </w:rPr>
        <w:t>Gomes de Mattos Advogados Associados (Dr. Augusto Alves Moreira Neto – OAB/RJ 241.295)</w:t>
      </w:r>
    </w:p>
    <w:p>
      <w:pPr>
        <w:pStyle w:val="Normal"/>
        <w:spacing w:before="200" w:after="360"/>
        <w:jc w:val="center"/>
        <w:rPr>
          <w:shd w:fill="auto" w:val="clear"/>
        </w:rPr>
      </w:pPr>
      <w:r>
        <w:rPr>
          <w:rFonts w:eastAsia="Arial" w:cs="Arial"/>
          <w:b/>
          <w:bCs/>
          <w:sz w:val="26"/>
          <w:szCs w:val="26"/>
          <w:shd w:fill="auto" w:val="clear"/>
        </w:rPr>
        <w:t>PROPOSTA VINCULANTE DE AQUISIÇÃO DE UNIDADE PRODUTIVA ISOLADA</w:t>
      </w:r>
    </w:p>
    <w:p>
      <w:pPr>
        <w:pStyle w:val="Normal"/>
        <w:spacing w:lineRule="exact" w:line="300" w:before="0" w:after="160"/>
        <w:jc w:val="both"/>
        <w:rPr/>
      </w:pPr>
      <w:r>
        <w:rPr>
          <w:rFonts w:eastAsia="Arial" w:cs="Arial"/>
          <w:sz w:val="22"/>
          <w:szCs w:val="22"/>
          <w:shd w:fill="81D41A" w:val="clear"/>
        </w:rPr>
        <w:t>[●] (nome/razão social)</w:t>
      </w:r>
      <w:r>
        <w:rPr>
          <w:rFonts w:eastAsia="Arial" w:cs="Arial"/>
          <w:sz w:val="22"/>
          <w:szCs w:val="22"/>
        </w:rPr>
        <w:t xml:space="preserve">, </w:t>
      </w:r>
      <w:r>
        <w:rPr>
          <w:rFonts w:eastAsia="Arial" w:cs="Arial"/>
          <w:sz w:val="22"/>
          <w:szCs w:val="22"/>
          <w:shd w:fill="auto" w:val="clear"/>
        </w:rPr>
        <w:t xml:space="preserve">abaixo identificado(a), vem, respeitosamente, à presença de Vossa Excelência, com fundamento na sentença proferida em 03/06/2026 nos autos em epígrafe, que convolou a recuperação judicial em falência e fixou os parâmetros para a alienação do ativo na forma de unidade produtiva isolada, apresentar </w:t>
      </w:r>
      <w:r>
        <w:rPr>
          <w:rFonts w:eastAsia="Arial" w:cs="Arial"/>
          <w:b/>
          <w:bCs/>
          <w:sz w:val="22"/>
          <w:szCs w:val="22"/>
          <w:shd w:fill="auto" w:val="clear"/>
        </w:rPr>
        <w:t>PROPOSTA VINCULANTE DE AQUISIÇÃO</w:t>
      </w:r>
      <w:r>
        <w:rPr>
          <w:rFonts w:eastAsia="Arial" w:cs="Arial"/>
          <w:sz w:val="22"/>
          <w:szCs w:val="22"/>
          <w:shd w:fill="auto" w:val="clear"/>
        </w:rPr>
        <w:t>, nos termos e condições que seguem.</w:t>
      </w:r>
    </w:p>
    <w:p>
      <w:pPr>
        <w:pStyle w:val="Normal"/>
        <w:spacing w:before="280" w:after="140"/>
        <w:rPr/>
      </w:pPr>
      <w:r>
        <w:rPr>
          <w:rFonts w:eastAsia="Arial" w:cs="Arial"/>
          <w:b/>
          <w:bCs/>
          <w:caps/>
          <w:sz w:val="22"/>
          <w:szCs w:val="22"/>
        </w:rPr>
        <w:t>1. Identificação do proponente</w:t>
      </w:r>
    </w:p>
    <w:tbl>
      <w:tblPr>
        <w:tblW w:w="9000" w:type="dxa"/>
        <w:jc w:val="left"/>
        <w:tblInd w:w="0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3200"/>
        <w:gridCol w:w="5799"/>
      </w:tblGrid>
      <w:tr>
        <w:trPr/>
        <w:tc>
          <w:tcPr>
            <w:tcW w:w="3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color="auto" w:fill="EDEDED" w:val="clea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eastAsia="Arial" w:cs="Arial"/>
                <w:b/>
                <w:bCs/>
                <w:sz w:val="20"/>
                <w:szCs w:val="20"/>
              </w:rPr>
              <w:t>Nome / razão social</w:t>
            </w:r>
          </w:p>
        </w:tc>
        <w:tc>
          <w:tcPr>
            <w:tcW w:w="579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pPr>
              <w:pStyle w:val="Normal"/>
              <w:widowControl w:val="false"/>
              <w:spacing w:before="0" w:after="0"/>
              <w:rPr>
                <w:shd w:fill="81D41A" w:val="clear"/>
              </w:rPr>
            </w:pPr>
            <w:r>
              <w:rPr>
                <w:rFonts w:eastAsia="Arial" w:cs="Arial"/>
                <w:b w:val="false"/>
                <w:bCs w:val="false"/>
                <w:sz w:val="20"/>
                <w:szCs w:val="20"/>
                <w:shd w:fill="81D41A" w:val="clear"/>
              </w:rPr>
              <w:t>[●]</w:t>
            </w:r>
          </w:p>
        </w:tc>
      </w:tr>
      <w:tr>
        <w:trPr/>
        <w:tc>
          <w:tcPr>
            <w:tcW w:w="3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color="auto" w:fill="EDEDED" w:val="clea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eastAsia="Arial" w:cs="Arial"/>
                <w:b/>
                <w:bCs/>
                <w:sz w:val="20"/>
                <w:szCs w:val="20"/>
              </w:rPr>
              <w:t>CPF / CNPJ</w:t>
            </w:r>
          </w:p>
        </w:tc>
        <w:tc>
          <w:tcPr>
            <w:tcW w:w="579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pPr>
              <w:pStyle w:val="Normal"/>
              <w:widowControl w:val="false"/>
              <w:spacing w:before="0" w:after="0"/>
              <w:rPr>
                <w:shd w:fill="81D41A" w:val="clear"/>
              </w:rPr>
            </w:pPr>
            <w:r>
              <w:rPr>
                <w:rFonts w:eastAsia="Arial" w:cs="Arial"/>
                <w:b w:val="false"/>
                <w:bCs w:val="false"/>
                <w:sz w:val="20"/>
                <w:szCs w:val="20"/>
                <w:shd w:fill="81D41A" w:val="clear"/>
              </w:rPr>
              <w:t>[●]</w:t>
            </w:r>
          </w:p>
        </w:tc>
      </w:tr>
      <w:tr>
        <w:trPr/>
        <w:tc>
          <w:tcPr>
            <w:tcW w:w="3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color="auto" w:fill="EDEDED" w:val="clea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eastAsia="Arial" w:cs="Arial"/>
                <w:b/>
                <w:bCs/>
                <w:sz w:val="20"/>
                <w:szCs w:val="20"/>
              </w:rPr>
              <w:t>Inscrição estadual (se houver)</w:t>
            </w:r>
          </w:p>
        </w:tc>
        <w:tc>
          <w:tcPr>
            <w:tcW w:w="579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pPr>
              <w:pStyle w:val="Normal"/>
              <w:widowControl w:val="false"/>
              <w:spacing w:before="0" w:after="0"/>
              <w:rPr>
                <w:shd w:fill="81D41A" w:val="clear"/>
              </w:rPr>
            </w:pPr>
            <w:r>
              <w:rPr>
                <w:rFonts w:eastAsia="Arial" w:cs="Arial"/>
                <w:b w:val="false"/>
                <w:bCs w:val="false"/>
                <w:sz w:val="20"/>
                <w:szCs w:val="20"/>
                <w:shd w:fill="81D41A" w:val="clear"/>
              </w:rPr>
              <w:t>[●]</w:t>
            </w:r>
          </w:p>
        </w:tc>
      </w:tr>
      <w:tr>
        <w:trPr/>
        <w:tc>
          <w:tcPr>
            <w:tcW w:w="3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color="auto" w:fill="EDEDED" w:val="clea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eastAsia="Arial" w:cs="Arial"/>
                <w:b/>
                <w:bCs/>
                <w:sz w:val="20"/>
                <w:szCs w:val="20"/>
              </w:rPr>
              <w:t>Endereço completo</w:t>
            </w:r>
          </w:p>
        </w:tc>
        <w:tc>
          <w:tcPr>
            <w:tcW w:w="579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pPr>
              <w:pStyle w:val="Normal"/>
              <w:widowControl w:val="false"/>
              <w:spacing w:before="0" w:after="0"/>
              <w:rPr>
                <w:shd w:fill="81D41A" w:val="clear"/>
              </w:rPr>
            </w:pPr>
            <w:r>
              <w:rPr>
                <w:rFonts w:eastAsia="Arial" w:cs="Arial"/>
                <w:b w:val="false"/>
                <w:bCs w:val="false"/>
                <w:sz w:val="20"/>
                <w:szCs w:val="20"/>
                <w:shd w:fill="81D41A" w:val="clear"/>
              </w:rPr>
              <w:t>[●]</w:t>
            </w:r>
          </w:p>
        </w:tc>
      </w:tr>
      <w:tr>
        <w:trPr/>
        <w:tc>
          <w:tcPr>
            <w:tcW w:w="3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color="auto" w:fill="EDEDED" w:val="clea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eastAsia="Arial" w:cs="Arial"/>
                <w:b/>
                <w:bCs/>
                <w:sz w:val="20"/>
                <w:szCs w:val="20"/>
              </w:rPr>
              <w:t>Representante(s) legal(is)</w:t>
            </w:r>
          </w:p>
        </w:tc>
        <w:tc>
          <w:tcPr>
            <w:tcW w:w="579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pPr>
              <w:pStyle w:val="Normal"/>
              <w:widowControl w:val="false"/>
              <w:spacing w:before="0" w:after="0"/>
              <w:rPr>
                <w:shd w:fill="81D41A" w:val="clear"/>
              </w:rPr>
            </w:pPr>
            <w:r>
              <w:rPr>
                <w:rFonts w:eastAsia="Arial" w:cs="Arial"/>
                <w:b w:val="false"/>
                <w:bCs w:val="false"/>
                <w:sz w:val="20"/>
                <w:szCs w:val="20"/>
                <w:shd w:fill="81D41A" w:val="clear"/>
              </w:rPr>
              <w:t>[●] – CPF [●] – cargo [●]</w:t>
            </w:r>
          </w:p>
        </w:tc>
      </w:tr>
      <w:tr>
        <w:trPr/>
        <w:tc>
          <w:tcPr>
            <w:tcW w:w="3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color="auto" w:fill="EDEDED" w:val="clea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eastAsia="Arial" w:cs="Arial"/>
                <w:b/>
                <w:bCs/>
                <w:sz w:val="20"/>
                <w:szCs w:val="20"/>
              </w:rPr>
              <w:t>E-mail para intimações</w:t>
            </w:r>
          </w:p>
        </w:tc>
        <w:tc>
          <w:tcPr>
            <w:tcW w:w="579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pPr>
              <w:pStyle w:val="Normal"/>
              <w:widowControl w:val="false"/>
              <w:spacing w:before="0" w:after="0"/>
              <w:rPr>
                <w:shd w:fill="81D41A" w:val="clear"/>
              </w:rPr>
            </w:pPr>
            <w:r>
              <w:rPr>
                <w:rFonts w:eastAsia="Arial" w:cs="Arial"/>
                <w:b w:val="false"/>
                <w:bCs w:val="false"/>
                <w:sz w:val="20"/>
                <w:szCs w:val="20"/>
                <w:shd w:fill="81D41A" w:val="clear"/>
              </w:rPr>
              <w:t>[●]</w:t>
            </w:r>
          </w:p>
        </w:tc>
      </w:tr>
      <w:tr>
        <w:trPr/>
        <w:tc>
          <w:tcPr>
            <w:tcW w:w="3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color="auto" w:fill="EDEDED" w:val="clea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eastAsia="Arial" w:cs="Arial"/>
                <w:b/>
                <w:bCs/>
                <w:sz w:val="20"/>
                <w:szCs w:val="20"/>
              </w:rPr>
              <w:t>Telefone / WhatsApp</w:t>
            </w:r>
          </w:p>
        </w:tc>
        <w:tc>
          <w:tcPr>
            <w:tcW w:w="579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pPr>
              <w:pStyle w:val="Normal"/>
              <w:widowControl w:val="false"/>
              <w:spacing w:before="0" w:after="0"/>
              <w:rPr>
                <w:shd w:fill="81D41A" w:val="clear"/>
              </w:rPr>
            </w:pPr>
            <w:r>
              <w:rPr>
                <w:rFonts w:eastAsia="Arial" w:cs="Arial"/>
                <w:b w:val="false"/>
                <w:bCs w:val="false"/>
                <w:sz w:val="20"/>
                <w:szCs w:val="20"/>
                <w:shd w:fill="81D41A" w:val="clear"/>
              </w:rPr>
              <w:t>[●]</w:t>
            </w:r>
          </w:p>
        </w:tc>
      </w:tr>
      <w:tr>
        <w:trPr/>
        <w:tc>
          <w:tcPr>
            <w:tcW w:w="3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color="auto" w:fill="EDEDED" w:val="clea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eastAsia="Arial" w:cs="Arial"/>
                <w:b/>
                <w:bCs/>
                <w:sz w:val="20"/>
                <w:szCs w:val="20"/>
              </w:rPr>
              <w:t>Advogado(a) constituído(a) (opcional)</w:t>
            </w:r>
          </w:p>
        </w:tc>
        <w:tc>
          <w:tcPr>
            <w:tcW w:w="579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pPr>
              <w:pStyle w:val="Normal"/>
              <w:widowControl w:val="false"/>
              <w:spacing w:before="0" w:after="0"/>
              <w:rPr>
                <w:shd w:fill="81D41A" w:val="clear"/>
              </w:rPr>
            </w:pPr>
            <w:r>
              <w:rPr>
                <w:rFonts w:eastAsia="Arial" w:cs="Arial"/>
                <w:b w:val="false"/>
                <w:bCs w:val="false"/>
                <w:sz w:val="20"/>
                <w:szCs w:val="20"/>
                <w:shd w:fill="81D41A" w:val="clear"/>
              </w:rPr>
              <w:t>[●] – OAB/[●] nº [●]</w:t>
            </w:r>
          </w:p>
        </w:tc>
      </w:tr>
    </w:tbl>
    <w:p>
      <w:pPr>
        <w:pStyle w:val="Normal"/>
        <w:spacing w:before="0" w:after="120"/>
        <w:rPr/>
      </w:pPr>
      <w:r>
        <w:rPr/>
      </w:r>
    </w:p>
    <w:p>
      <w:pPr>
        <w:pStyle w:val="Normal"/>
        <w:spacing w:before="280" w:after="140"/>
        <w:rPr>
          <w:shd w:fill="auto" w:val="clear"/>
        </w:rPr>
      </w:pPr>
      <w:r>
        <w:rPr>
          <w:rFonts w:eastAsia="Arial" w:cs="Arial"/>
          <w:b/>
          <w:bCs/>
          <w:caps/>
          <w:sz w:val="22"/>
          <w:szCs w:val="22"/>
          <w:shd w:fill="auto" w:val="clear"/>
        </w:rPr>
        <w:t>2. Objeto da proposta</w:t>
      </w:r>
    </w:p>
    <w:p>
      <w:pPr>
        <w:pStyle w:val="Normal"/>
        <w:spacing w:lineRule="exact" w:line="300" w:before="0" w:after="160"/>
        <w:jc w:val="both"/>
        <w:rPr>
          <w:shd w:fill="auto" w:val="clear"/>
        </w:rPr>
      </w:pPr>
      <w:r>
        <w:rPr>
          <w:rFonts w:eastAsia="Arial" w:cs="Arial"/>
          <w:sz w:val="22"/>
          <w:szCs w:val="22"/>
          <w:shd w:fill="auto" w:val="clear"/>
        </w:rPr>
        <w:t>A presente proposta tem por objeto a aquisição, em bloco, da unidade produtiva isolada (UPI) constituída a partir do patrimônio consolidado das massas falidas, na forma priorizada pela sentença de 03/06/2026 e delimitada no Laudo de Avaliação Econômica de Unidade Produtiva Isolada elaborado por BBZ Administração Judicial (data-base 31/07/2026), compreendendo:</w:t>
      </w:r>
    </w:p>
    <w:p>
      <w:pPr>
        <w:pStyle w:val="ListParagraph"/>
        <w:numPr>
          <w:ilvl w:val="0"/>
          <w:numId w:val="10"/>
        </w:numPr>
        <w:spacing w:lineRule="exact" w:line="300" w:before="0" w:after="160"/>
        <w:jc w:val="both"/>
        <w:rPr>
          <w:shd w:fill="auto" w:val="clear"/>
        </w:rPr>
      </w:pPr>
      <w:r>
        <w:rPr>
          <w:rFonts w:eastAsia="Arial" w:cs="Arial"/>
          <w:sz w:val="22"/>
          <w:szCs w:val="22"/>
          <w:shd w:fill="auto" w:val="clear"/>
        </w:rPr>
        <w:t>os bens imóveis objeto das matrículas nº 44.864 e nº 47.151 do Registro de Imóveis competente, com área total de 136.650,00 m², situados na Estrada da Vindima, acesso pela Rodovia RS-444, Km 26, Monte Belo do Sul/RS, com as edificações do complexo industrial neles implantadas (área construída de 40.197,59 m²);</w:t>
      </w:r>
    </w:p>
    <w:p>
      <w:pPr>
        <w:pStyle w:val="ListParagraph"/>
        <w:numPr>
          <w:ilvl w:val="0"/>
          <w:numId w:val="11"/>
        </w:numPr>
        <w:spacing w:lineRule="exact" w:line="300" w:before="0" w:after="160"/>
        <w:jc w:val="both"/>
        <w:rPr>
          <w:shd w:fill="auto" w:val="clear"/>
        </w:rPr>
      </w:pPr>
      <w:r>
        <w:rPr>
          <w:rFonts w:eastAsia="Arial" w:cs="Arial"/>
          <w:sz w:val="22"/>
          <w:szCs w:val="22"/>
          <w:shd w:fill="auto" w:val="clear"/>
        </w:rPr>
        <w:t>os bens móveis afetados à produção (máquinas e equipamentos, móveis e utensílios, equipamentos de informática e veículos), conforme relação analítica que integra o laudo de avaliação patrimonial;</w:t>
      </w:r>
    </w:p>
    <w:p>
      <w:pPr>
        <w:pStyle w:val="ListParagraph"/>
        <w:numPr>
          <w:ilvl w:val="0"/>
          <w:numId w:val="12"/>
        </w:numPr>
        <w:spacing w:lineRule="exact" w:line="300" w:before="0" w:after="160"/>
        <w:jc w:val="both"/>
        <w:rPr>
          <w:shd w:fill="auto" w:val="clear"/>
        </w:rPr>
      </w:pPr>
      <w:r>
        <w:rPr>
          <w:rFonts w:eastAsia="Arial" w:cs="Arial"/>
          <w:sz w:val="22"/>
          <w:szCs w:val="22"/>
          <w:shd w:fill="auto" w:val="clear"/>
        </w:rPr>
        <w:t>os estoques de matérias-primas, produtos em elaboração e produtos acabados;</w:t>
      </w:r>
    </w:p>
    <w:p>
      <w:pPr>
        <w:pStyle w:val="ListParagraph"/>
        <w:numPr>
          <w:ilvl w:val="0"/>
          <w:numId w:val="13"/>
        </w:numPr>
        <w:spacing w:lineRule="exact" w:line="300" w:before="0" w:after="160"/>
        <w:jc w:val="both"/>
        <w:rPr>
          <w:shd w:fill="auto" w:val="clear"/>
        </w:rPr>
      </w:pPr>
      <w:r>
        <w:rPr>
          <w:rFonts w:eastAsia="Arial" w:cs="Arial"/>
          <w:sz w:val="22"/>
          <w:szCs w:val="22"/>
          <w:shd w:fill="auto" w:val="clear"/>
        </w:rPr>
        <w:t>a operação fabril e a operação de comercialização direta ao consumidor por meio de plataformas de comércio eletrônico, com as respectivas contas e ativos digitais associados;</w:t>
      </w:r>
    </w:p>
    <w:p>
      <w:pPr>
        <w:pStyle w:val="ListParagraph"/>
        <w:numPr>
          <w:ilvl w:val="0"/>
          <w:numId w:val="14"/>
        </w:numPr>
        <w:spacing w:lineRule="exact" w:line="300" w:before="0" w:after="160"/>
        <w:jc w:val="both"/>
        <w:rPr>
          <w:shd w:fill="auto" w:val="clear"/>
        </w:rPr>
      </w:pPr>
      <w:r>
        <w:rPr>
          <w:rFonts w:eastAsia="Arial" w:cs="Arial"/>
          <w:sz w:val="22"/>
          <w:szCs w:val="22"/>
          <w:shd w:fill="auto" w:val="clear"/>
        </w:rPr>
        <w:t>a marca sob a qual os produtos são fabricados e comercializados;</w:t>
      </w:r>
    </w:p>
    <w:p>
      <w:pPr>
        <w:pStyle w:val="ListParagraph"/>
        <w:numPr>
          <w:ilvl w:val="0"/>
          <w:numId w:val="15"/>
        </w:numPr>
        <w:spacing w:lineRule="exact" w:line="300" w:before="0" w:after="160"/>
        <w:jc w:val="both"/>
        <w:rPr>
          <w:shd w:fill="auto" w:val="clear"/>
        </w:rPr>
      </w:pPr>
      <w:r>
        <w:rPr>
          <w:rFonts w:eastAsia="Arial" w:cs="Arial"/>
          <w:sz w:val="22"/>
          <w:szCs w:val="22"/>
          <w:shd w:fill="auto" w:val="clear"/>
        </w:rPr>
        <w:t>a posição de locador nos contratos de locação de área construída vigentes.</w:t>
      </w:r>
    </w:p>
    <w:p>
      <w:pPr>
        <w:pStyle w:val="Normal"/>
        <w:spacing w:lineRule="exact" w:line="300" w:before="0" w:after="160"/>
        <w:jc w:val="both"/>
        <w:rPr>
          <w:rFonts w:ascii="Arial" w:hAnsi="Arial" w:eastAsia="Arial" w:cs="Arial"/>
          <w:sz w:val="22"/>
          <w:szCs w:val="22"/>
        </w:rPr>
      </w:pPr>
      <w:r>
        <w:rPr>
          <w:rFonts w:eastAsia="Arial" w:cs="Arial"/>
          <w:sz w:val="22"/>
          <w:szCs w:val="22"/>
        </w:rPr>
      </w:r>
    </w:p>
    <w:p>
      <w:pPr>
        <w:pStyle w:val="Normal"/>
        <w:spacing w:before="280" w:after="140"/>
        <w:rPr>
          <w:shd w:fill="auto" w:val="clear"/>
        </w:rPr>
      </w:pPr>
      <w:r>
        <w:rPr>
          <w:rFonts w:eastAsia="Arial" w:cs="Arial"/>
          <w:b/>
          <w:bCs/>
          <w:caps/>
          <w:sz w:val="22"/>
          <w:szCs w:val="22"/>
          <w:shd w:fill="auto" w:val="clear"/>
        </w:rPr>
        <w:t>3. Valor ofertado</w:t>
      </w:r>
    </w:p>
    <w:p>
      <w:pPr>
        <w:pStyle w:val="Normal"/>
        <w:spacing w:lineRule="exact" w:line="300" w:before="0" w:after="160"/>
        <w:jc w:val="both"/>
        <w:rPr/>
      </w:pPr>
      <w:r>
        <w:rPr>
          <w:rFonts w:eastAsia="Arial" w:cs="Arial"/>
          <w:sz w:val="22"/>
          <w:szCs w:val="22"/>
          <w:shd w:fill="auto" w:val="clear"/>
        </w:rPr>
        <w:t>O(A) proponente oferece pela aquisição do objeto descrito no item 2 o valor total de</w:t>
      </w:r>
      <w:r>
        <w:rPr>
          <w:rFonts w:eastAsia="Arial" w:cs="Arial"/>
          <w:sz w:val="22"/>
          <w:szCs w:val="22"/>
        </w:rPr>
        <w:t xml:space="preserve"> </w:t>
      </w:r>
      <w:r>
        <w:rPr>
          <w:rFonts w:eastAsia="Arial" w:cs="Arial"/>
          <w:b/>
          <w:bCs/>
          <w:sz w:val="22"/>
          <w:szCs w:val="22"/>
          <w:shd w:fill="81D41A" w:val="clear"/>
        </w:rPr>
        <w:t>R$ [●] ([●] por extenso)</w:t>
      </w:r>
      <w:r>
        <w:rPr>
          <w:rFonts w:eastAsia="Arial" w:cs="Arial"/>
          <w:sz w:val="22"/>
          <w:szCs w:val="22"/>
          <w:shd w:fill="81D41A" w:val="clear"/>
        </w:rPr>
        <w:t>.</w:t>
      </w:r>
    </w:p>
    <w:p>
      <w:pPr>
        <w:pStyle w:val="Normal"/>
        <w:spacing w:lineRule="exact" w:line="300" w:before="0" w:after="160"/>
        <w:jc w:val="both"/>
        <w:rPr>
          <w:shd w:fill="auto" w:val="clear"/>
        </w:rPr>
      </w:pPr>
      <w:r>
        <w:rPr>
          <w:rFonts w:eastAsia="Arial" w:cs="Arial"/>
          <w:sz w:val="22"/>
          <w:szCs w:val="22"/>
          <w:shd w:fill="auto" w:val="clear"/>
        </w:rPr>
        <w:t>Para referência, o valor da unidade produtiva isolada em continuidade operacional apurado no laudo de avaliação econômica é de R$ 83.303.099,00 (Base Global).</w:t>
      </w:r>
    </w:p>
    <w:p>
      <w:pPr>
        <w:pStyle w:val="Normal"/>
        <w:spacing w:before="280" w:after="140"/>
        <w:rPr>
          <w:shd w:fill="auto" w:val="clear"/>
        </w:rPr>
      </w:pPr>
      <w:r>
        <w:rPr>
          <w:rFonts w:eastAsia="Arial" w:cs="Arial"/>
          <w:b/>
          <w:bCs/>
          <w:caps/>
          <w:sz w:val="22"/>
          <w:szCs w:val="22"/>
          <w:shd w:fill="auto" w:val="clear"/>
        </w:rPr>
        <w:t>4. Condições de pagamento</w:t>
      </w:r>
    </w:p>
    <w:p>
      <w:pPr>
        <w:pStyle w:val="Normal"/>
        <w:spacing w:lineRule="exact" w:line="300" w:before="0" w:after="160"/>
        <w:jc w:val="both"/>
        <w:rPr/>
      </w:pPr>
      <w:r>
        <w:rPr>
          <w:rFonts w:eastAsia="Arial" w:cs="Arial"/>
          <w:b/>
          <w:bCs/>
          <w:sz w:val="22"/>
          <w:szCs w:val="22"/>
          <w:shd w:fill="auto" w:val="clear"/>
        </w:rPr>
        <w:t>Forma:</w:t>
      </w:r>
      <w:r>
        <w:rPr>
          <w:rFonts w:eastAsia="Arial" w:cs="Arial"/>
          <w:b/>
          <w:bCs/>
          <w:sz w:val="22"/>
          <w:szCs w:val="22"/>
        </w:rPr>
        <w:t xml:space="preserve"> </w:t>
      </w:r>
      <w:r>
        <w:rPr>
          <w:rFonts w:eastAsia="Arial" w:cs="Arial"/>
          <w:sz w:val="22"/>
          <w:szCs w:val="22"/>
          <w:shd w:fill="81D41A" w:val="clear"/>
        </w:rPr>
        <w:t>( )</w:t>
      </w:r>
      <w:r>
        <w:rPr>
          <w:rFonts w:eastAsia="Arial" w:cs="Arial"/>
          <w:sz w:val="22"/>
          <w:szCs w:val="22"/>
        </w:rPr>
        <w:t xml:space="preserve"> à vista   </w:t>
      </w:r>
      <w:r>
        <w:rPr>
          <w:rFonts w:eastAsia="Arial" w:cs="Arial"/>
          <w:sz w:val="22"/>
          <w:szCs w:val="22"/>
          <w:shd w:fill="81D41A" w:val="clear"/>
        </w:rPr>
        <w:t>( )</w:t>
      </w:r>
      <w:r>
        <w:rPr>
          <w:rFonts w:eastAsia="Arial" w:cs="Arial"/>
          <w:sz w:val="22"/>
          <w:szCs w:val="22"/>
        </w:rPr>
        <w:t xml:space="preserve"> parcelado</w:t>
      </w:r>
    </w:p>
    <w:p>
      <w:pPr>
        <w:pStyle w:val="Normal"/>
        <w:spacing w:lineRule="exact" w:line="300" w:before="0" w:after="160"/>
        <w:jc w:val="both"/>
        <w:rPr/>
      </w:pPr>
      <w:r>
        <w:rPr>
          <w:rFonts w:eastAsia="Arial" w:cs="Arial"/>
          <w:b/>
          <w:bCs/>
          <w:sz w:val="22"/>
          <w:szCs w:val="22"/>
        </w:rPr>
        <w:t xml:space="preserve">Sinal / entrada: </w:t>
      </w:r>
      <w:r>
        <w:rPr>
          <w:rFonts w:eastAsia="Arial" w:cs="Arial"/>
          <w:sz w:val="22"/>
          <w:szCs w:val="22"/>
          <w:shd w:fill="81D41A" w:val="clear"/>
        </w:rPr>
        <w:t>R$ [●] ([●]%</w:t>
      </w:r>
      <w:r>
        <w:rPr>
          <w:rFonts w:eastAsia="Arial" w:cs="Arial"/>
          <w:sz w:val="22"/>
          <w:szCs w:val="22"/>
        </w:rPr>
        <w:t xml:space="preserve"> do valor ofertado), a ser depositado(a) em conta judicial vinculada a este Juízo no prazo de </w:t>
      </w:r>
      <w:r>
        <w:rPr>
          <w:rFonts w:eastAsia="Arial" w:cs="Arial"/>
          <w:sz w:val="22"/>
          <w:szCs w:val="22"/>
          <w:shd w:fill="81D41A" w:val="clear"/>
        </w:rPr>
        <w:t>[●]</w:t>
      </w:r>
      <w:r>
        <w:rPr>
          <w:rFonts w:eastAsia="Arial" w:cs="Arial"/>
          <w:sz w:val="22"/>
          <w:szCs w:val="22"/>
        </w:rPr>
        <w:t xml:space="preserve"> dias contados da (homologação da proposta / arrematação).</w:t>
      </w:r>
    </w:p>
    <w:p>
      <w:pPr>
        <w:pStyle w:val="Normal"/>
        <w:spacing w:lineRule="exact" w:line="300" w:before="0" w:after="160"/>
        <w:jc w:val="both"/>
        <w:rPr/>
      </w:pPr>
      <w:r>
        <w:rPr>
          <w:rFonts w:eastAsia="Arial" w:cs="Arial"/>
          <w:b/>
          <w:bCs/>
          <w:sz w:val="22"/>
          <w:szCs w:val="22"/>
        </w:rPr>
        <w:t xml:space="preserve">Saldo: </w:t>
      </w:r>
      <w:r>
        <w:rPr>
          <w:rFonts w:eastAsia="Arial" w:cs="Arial"/>
          <w:sz w:val="22"/>
          <w:szCs w:val="22"/>
        </w:rPr>
        <w:t xml:space="preserve">R$ </w:t>
      </w:r>
      <w:r>
        <w:rPr>
          <w:rFonts w:eastAsia="Arial" w:cs="Arial"/>
          <w:sz w:val="22"/>
          <w:szCs w:val="22"/>
          <w:shd w:fill="81D41A" w:val="clear"/>
        </w:rPr>
        <w:t>[●]</w:t>
      </w:r>
      <w:r>
        <w:rPr>
          <w:rFonts w:eastAsia="Arial" w:cs="Arial"/>
          <w:sz w:val="22"/>
          <w:szCs w:val="22"/>
        </w:rPr>
        <w:t xml:space="preserve">, em </w:t>
      </w:r>
      <w:r>
        <w:rPr>
          <w:rFonts w:eastAsia="Arial" w:cs="Arial"/>
          <w:sz w:val="22"/>
          <w:szCs w:val="22"/>
          <w:shd w:fill="81D41A" w:val="clear"/>
        </w:rPr>
        <w:t>[●]</w:t>
      </w:r>
      <w:r>
        <w:rPr>
          <w:rFonts w:eastAsia="Arial" w:cs="Arial"/>
          <w:sz w:val="22"/>
          <w:szCs w:val="22"/>
        </w:rPr>
        <w:t xml:space="preserve"> parcela(s) (</w:t>
      </w:r>
      <w:r>
        <w:rPr>
          <w:rFonts w:eastAsia="Arial" w:cs="Arial"/>
          <w:sz w:val="22"/>
          <w:szCs w:val="22"/>
          <w:shd w:fill="81D41A" w:val="clear"/>
        </w:rPr>
        <w:t>mensais / outra periodicidade</w:t>
      </w:r>
      <w:r>
        <w:rPr>
          <w:rFonts w:eastAsia="Arial" w:cs="Arial"/>
          <w:sz w:val="22"/>
          <w:szCs w:val="22"/>
        </w:rPr>
        <w:t xml:space="preserve">), com vencimento da primeira em </w:t>
      </w:r>
      <w:r>
        <w:rPr>
          <w:rFonts w:eastAsia="Arial" w:cs="Arial"/>
          <w:sz w:val="22"/>
          <w:szCs w:val="22"/>
          <w:shd w:fill="81D41A" w:val="clear"/>
        </w:rPr>
        <w:t>[●]</w:t>
      </w:r>
      <w:r>
        <w:rPr>
          <w:rFonts w:eastAsia="Arial" w:cs="Arial"/>
          <w:sz w:val="22"/>
          <w:szCs w:val="22"/>
        </w:rPr>
        <w:t xml:space="preserve"> dias contados da </w:t>
      </w:r>
      <w:r>
        <w:rPr>
          <w:rFonts w:eastAsia="Arial" w:cs="Arial"/>
          <w:sz w:val="22"/>
          <w:szCs w:val="22"/>
          <w:shd w:fill="81D41A" w:val="clear"/>
        </w:rPr>
        <w:t>[●]</w:t>
      </w:r>
      <w:r>
        <w:rPr>
          <w:rFonts w:eastAsia="Arial" w:cs="Arial"/>
          <w:sz w:val="22"/>
          <w:szCs w:val="22"/>
        </w:rPr>
        <w:t xml:space="preserve">, corrigidas pelo(a) </w:t>
      </w:r>
      <w:r>
        <w:rPr>
          <w:rFonts w:eastAsia="Arial" w:cs="Arial"/>
          <w:sz w:val="22"/>
          <w:szCs w:val="22"/>
          <w:shd w:fill="81D41A" w:val="clear"/>
        </w:rPr>
        <w:t>[●]</w:t>
      </w:r>
      <w:r>
        <w:rPr>
          <w:rFonts w:eastAsia="Arial" w:cs="Arial"/>
          <w:sz w:val="22"/>
          <w:szCs w:val="22"/>
        </w:rPr>
        <w:t xml:space="preserve"> (índice), mediante depósito em conta judicial vinculada a este Juízo.</w:t>
      </w:r>
    </w:p>
    <w:p>
      <w:pPr>
        <w:pStyle w:val="Normal"/>
        <w:spacing w:lineRule="exact" w:line="300" w:before="0" w:after="160"/>
        <w:jc w:val="both"/>
        <w:rPr/>
      </w:pPr>
      <w:r>
        <w:rPr>
          <w:rFonts w:eastAsia="Arial" w:cs="Arial"/>
          <w:b/>
          <w:bCs/>
          <w:sz w:val="22"/>
          <w:szCs w:val="22"/>
        </w:rPr>
        <w:t xml:space="preserve">Garantia do saldo (se parcelado): </w:t>
      </w:r>
      <w:r>
        <w:rPr>
          <w:rFonts w:eastAsia="Arial" w:cs="Arial"/>
          <w:sz w:val="22"/>
          <w:szCs w:val="22"/>
          <w:shd w:fill="81D41A" w:val="clear"/>
        </w:rPr>
        <w:t>[●]</w:t>
      </w:r>
    </w:p>
    <w:p>
      <w:pPr>
        <w:pStyle w:val="Normal"/>
        <w:spacing w:lineRule="exact" w:line="300" w:before="0" w:after="160"/>
        <w:jc w:val="both"/>
        <w:rPr/>
      </w:pPr>
      <w:r>
        <w:rPr>
          <w:rFonts w:eastAsia="Arial" w:cs="Arial"/>
          <w:b/>
          <w:bCs/>
          <w:sz w:val="22"/>
          <w:szCs w:val="22"/>
        </w:rPr>
        <w:t xml:space="preserve">Outras condições: </w:t>
      </w:r>
      <w:r>
        <w:rPr>
          <w:rFonts w:eastAsia="Arial" w:cs="Arial"/>
          <w:sz w:val="22"/>
          <w:szCs w:val="22"/>
          <w:shd w:fill="81D41A" w:val="clear"/>
        </w:rPr>
        <w:t>[●]</w:t>
      </w:r>
    </w:p>
    <w:p>
      <w:pPr>
        <w:pStyle w:val="Normal"/>
        <w:spacing w:before="280" w:after="140"/>
        <w:rPr>
          <w:shd w:fill="auto" w:val="clear"/>
        </w:rPr>
      </w:pPr>
      <w:r>
        <w:rPr>
          <w:rFonts w:eastAsia="Arial" w:cs="Arial"/>
          <w:b/>
          <w:bCs/>
          <w:caps/>
          <w:sz w:val="22"/>
          <w:szCs w:val="22"/>
          <w:shd w:fill="auto" w:val="clear"/>
        </w:rPr>
        <w:t>5. Cláusula de irretratabilidade</w:t>
      </w:r>
    </w:p>
    <w:p>
      <w:pPr>
        <w:pStyle w:val="Normal"/>
        <w:spacing w:lineRule="exact" w:line="300" w:before="0" w:after="160"/>
        <w:jc w:val="both"/>
        <w:rPr>
          <w:shd w:fill="auto" w:val="clear"/>
        </w:rPr>
      </w:pPr>
      <w:r>
        <w:rPr>
          <w:rFonts w:eastAsia="Arial" w:cs="Arial"/>
          <w:sz w:val="22"/>
          <w:szCs w:val="22"/>
          <w:shd w:fill="auto" w:val="clear"/>
        </w:rPr>
        <w:t>A presente proposta é firme, irrevogável e irretratável, obrigando o(a) proponente, seus sucessores e cessionários a qualquer título, não podendo ser retirada, reduzida ou modificada em prejuízo da massa falida após o seu protocolo. O(A) proponente declara-se ciente de que, sagrando-se vencedor(a), o descumprimento das condições ora ofertadas sujeitará a proposta às consequências previstas nos arts. 879 a 903 do Código de Processo Civil e na legislação aplicável.</w:t>
      </w:r>
    </w:p>
    <w:p>
      <w:pPr>
        <w:pStyle w:val="Normal"/>
        <w:spacing w:before="280" w:after="140"/>
        <w:rPr>
          <w:shd w:fill="auto" w:val="clear"/>
        </w:rPr>
      </w:pPr>
      <w:r>
        <w:rPr>
          <w:rFonts w:eastAsia="Arial" w:cs="Arial"/>
          <w:b/>
          <w:bCs/>
          <w:caps/>
          <w:sz w:val="22"/>
          <w:szCs w:val="22"/>
          <w:shd w:fill="auto" w:val="clear"/>
        </w:rPr>
        <w:t>6. Ciência da modalidade de leilão e do procedimento de venda</w:t>
      </w:r>
    </w:p>
    <w:p>
      <w:pPr>
        <w:pStyle w:val="Normal"/>
        <w:spacing w:lineRule="exact" w:line="300" w:before="0" w:after="160"/>
        <w:jc w:val="both"/>
        <w:rPr>
          <w:shd w:fill="auto" w:val="clear"/>
        </w:rPr>
      </w:pPr>
      <w:r>
        <w:rPr>
          <w:rFonts w:eastAsia="Arial" w:cs="Arial"/>
          <w:sz w:val="22"/>
          <w:szCs w:val="22"/>
          <w:shd w:fill="auto" w:val="clear"/>
        </w:rPr>
        <w:t>O(A) proponente declara expressa ciência de que:</w:t>
      </w:r>
    </w:p>
    <w:p>
      <w:pPr>
        <w:pStyle w:val="ListParagraph"/>
        <w:numPr>
          <w:ilvl w:val="0"/>
          <w:numId w:val="16"/>
        </w:numPr>
        <w:spacing w:lineRule="exact" w:line="300" w:before="0" w:after="160"/>
        <w:jc w:val="both"/>
        <w:rPr>
          <w:shd w:fill="auto" w:val="clear"/>
        </w:rPr>
      </w:pPr>
      <w:r>
        <w:rPr>
          <w:rFonts w:eastAsia="Arial" w:cs="Arial"/>
          <w:sz w:val="22"/>
          <w:szCs w:val="22"/>
          <w:shd w:fill="auto" w:val="clear"/>
        </w:rPr>
        <w:t>o presente procedimento constitui modalidade de leilão judicial, sendo-lhe aplicáveis todas as disposições dos arts. 879 a 903 do Código de Processo Civil;</w:t>
      </w:r>
    </w:p>
    <w:p>
      <w:pPr>
        <w:pStyle w:val="ListParagraph"/>
        <w:numPr>
          <w:ilvl w:val="0"/>
          <w:numId w:val="17"/>
        </w:numPr>
        <w:spacing w:lineRule="exact" w:line="300" w:before="0" w:after="160"/>
        <w:jc w:val="both"/>
        <w:rPr>
          <w:shd w:fill="auto" w:val="clear"/>
        </w:rPr>
      </w:pPr>
      <w:r>
        <w:rPr>
          <w:rFonts w:eastAsia="Arial" w:cs="Arial"/>
          <w:sz w:val="22"/>
          <w:szCs w:val="22"/>
          <w:shd w:fill="auto" w:val="clear"/>
        </w:rPr>
        <w:t>as propostas vinculantes serão recebidas até o dia 30 de setembro de 2026, mediante manifestação dirigida diretamente à serventia judicial por meio eletrônico;</w:t>
      </w:r>
    </w:p>
    <w:p>
      <w:pPr>
        <w:pStyle w:val="ListParagraph"/>
        <w:numPr>
          <w:ilvl w:val="0"/>
          <w:numId w:val="18"/>
        </w:numPr>
        <w:spacing w:lineRule="exact" w:line="300" w:before="0" w:after="160"/>
        <w:jc w:val="both"/>
        <w:rPr>
          <w:shd w:fill="auto" w:val="clear"/>
        </w:rPr>
      </w:pPr>
      <w:r>
        <w:rPr>
          <w:rFonts w:eastAsia="Arial" w:cs="Arial"/>
          <w:sz w:val="22"/>
          <w:szCs w:val="22"/>
          <w:shd w:fill="auto" w:val="clear"/>
        </w:rPr>
        <w:t>havendo mais de uma proposta vinculante, todos os proponentes serão considerados habilitados e será realizada praça única, na modalidade presencial, da qual poderão participar somente os habilitados, em data, hora e local a serem definidos e divulgados pelo Juízo;</w:t>
      </w:r>
    </w:p>
    <w:p>
      <w:pPr>
        <w:pStyle w:val="ListParagraph"/>
        <w:numPr>
          <w:ilvl w:val="0"/>
          <w:numId w:val="19"/>
        </w:numPr>
        <w:spacing w:lineRule="exact" w:line="300" w:before="0" w:after="160"/>
        <w:jc w:val="both"/>
        <w:rPr>
          <w:shd w:fill="auto" w:val="clear"/>
        </w:rPr>
      </w:pPr>
      <w:r>
        <w:rPr>
          <w:rFonts w:eastAsia="Arial" w:cs="Arial"/>
          <w:sz w:val="22"/>
          <w:szCs w:val="22"/>
          <w:shd w:fill="auto" w:val="clear"/>
        </w:rPr>
        <w:t>havendo somente uma proposta vinculante, poderá ser autorizada a venda direta;</w:t>
      </w:r>
    </w:p>
    <w:p>
      <w:pPr>
        <w:pStyle w:val="ListParagraph"/>
        <w:numPr>
          <w:ilvl w:val="0"/>
          <w:numId w:val="20"/>
        </w:numPr>
        <w:spacing w:lineRule="exact" w:line="300" w:before="0" w:after="160"/>
        <w:jc w:val="both"/>
        <w:rPr>
          <w:shd w:fill="auto" w:val="clear"/>
        </w:rPr>
      </w:pPr>
      <w:r>
        <w:rPr>
          <w:rFonts w:eastAsia="Arial" w:cs="Arial"/>
          <w:sz w:val="22"/>
          <w:szCs w:val="22"/>
          <w:shd w:fill="auto" w:val="clear"/>
        </w:rPr>
        <w:t>a análise da melhor proposta para a massa falida considerará o valor líquido resultante do negócio;</w:t>
      </w:r>
    </w:p>
    <w:p>
      <w:pPr>
        <w:pStyle w:val="ListParagraph"/>
        <w:numPr>
          <w:ilvl w:val="0"/>
          <w:numId w:val="21"/>
        </w:numPr>
        <w:spacing w:lineRule="exact" w:line="300" w:before="0" w:after="160"/>
        <w:jc w:val="both"/>
        <w:rPr>
          <w:shd w:fill="auto" w:val="clear"/>
        </w:rPr>
      </w:pPr>
      <w:r>
        <w:rPr>
          <w:rFonts w:eastAsia="Arial" w:cs="Arial"/>
          <w:sz w:val="22"/>
          <w:szCs w:val="22"/>
          <w:shd w:fill="auto" w:val="clear"/>
        </w:rPr>
        <w:t>a alienação se dará na forma do art. 141 da Lei nº 11.101/2005, e a homologação da proposta e a fixação das condições finais da venda são reservadas ao Juízo.</w:t>
      </w:r>
    </w:p>
    <w:p>
      <w:pPr>
        <w:pStyle w:val="Normal"/>
        <w:spacing w:before="280" w:after="140"/>
        <w:rPr>
          <w:shd w:fill="auto" w:val="clear"/>
        </w:rPr>
      </w:pPr>
      <w:r>
        <w:rPr>
          <w:rFonts w:eastAsia="Arial" w:cs="Arial"/>
          <w:b/>
          <w:bCs/>
          <w:caps/>
          <w:sz w:val="22"/>
          <w:szCs w:val="22"/>
          <w:shd w:fill="auto" w:val="clear"/>
        </w:rPr>
        <w:t>7. Declarações do proponente</w:t>
      </w:r>
    </w:p>
    <w:p>
      <w:pPr>
        <w:pStyle w:val="Normal"/>
        <w:spacing w:lineRule="exact" w:line="300" w:before="0" w:after="160"/>
        <w:jc w:val="both"/>
        <w:rPr>
          <w:shd w:fill="auto" w:val="clear"/>
        </w:rPr>
      </w:pPr>
      <w:r>
        <w:rPr>
          <w:rFonts w:eastAsia="Arial" w:cs="Arial"/>
          <w:sz w:val="22"/>
          <w:szCs w:val="22"/>
          <w:shd w:fill="auto" w:val="clear"/>
        </w:rPr>
        <w:t>O(A) proponente declara, sob as penas da lei, que:</w:t>
      </w:r>
    </w:p>
    <w:p>
      <w:pPr>
        <w:pStyle w:val="ListParagraph"/>
        <w:numPr>
          <w:ilvl w:val="0"/>
          <w:numId w:val="22"/>
        </w:numPr>
        <w:spacing w:lineRule="exact" w:line="300" w:before="0" w:after="160"/>
        <w:jc w:val="both"/>
        <w:rPr>
          <w:shd w:fill="auto" w:val="clear"/>
        </w:rPr>
      </w:pPr>
      <w:r>
        <w:rPr>
          <w:rFonts w:eastAsia="Arial" w:cs="Arial"/>
          <w:sz w:val="22"/>
          <w:szCs w:val="22"/>
          <w:shd w:fill="auto" w:val="clear"/>
        </w:rPr>
        <w:t>não é sócio(a) das sociedades falidas nem sociedade por elas controlada; não é parente, em linha reta ou colateral até o 4º (quarto) grau, consanguíneo ou afim, do falido ou de sócio das sociedades falidas; e não atua como agente do falido com o objetivo de fraudar a sucessão (art. 141, § 1º, da Lei nº 11.101/2005);</w:t>
      </w:r>
    </w:p>
    <w:p>
      <w:pPr>
        <w:pStyle w:val="ListParagraph"/>
        <w:numPr>
          <w:ilvl w:val="0"/>
          <w:numId w:val="23"/>
        </w:numPr>
        <w:spacing w:lineRule="exact" w:line="300" w:before="0" w:after="160"/>
        <w:jc w:val="both"/>
        <w:rPr>
          <w:shd w:fill="auto" w:val="clear"/>
        </w:rPr>
      </w:pPr>
      <w:r>
        <w:rPr>
          <w:rFonts w:eastAsia="Arial" w:cs="Arial"/>
          <w:sz w:val="22"/>
          <w:szCs w:val="22"/>
          <w:shd w:fill="auto" w:val="clear"/>
        </w:rPr>
        <w:t>teve acesso ao Laudo de Avaliação Econômica de Unidade Produtiva Isolada e ao laudo de avaliação patrimonial que o acompanha, bem como à sentença de 03/06/2026, e formula a presente proposta com base em sua própria análise;</w:t>
      </w:r>
    </w:p>
    <w:p>
      <w:pPr>
        <w:pStyle w:val="ListParagraph"/>
        <w:numPr>
          <w:ilvl w:val="0"/>
          <w:numId w:val="24"/>
        </w:numPr>
        <w:spacing w:lineRule="exact" w:line="300" w:before="0" w:after="160"/>
        <w:jc w:val="both"/>
        <w:rPr>
          <w:shd w:fill="auto" w:val="clear"/>
        </w:rPr>
      </w:pPr>
      <w:r>
        <w:rPr>
          <w:rFonts w:eastAsia="Arial" w:cs="Arial"/>
          <w:sz w:val="22"/>
          <w:szCs w:val="22"/>
          <w:shd w:fill="auto" w:val="clear"/>
        </w:rPr>
        <w:t>dispõe de capacidade financeira para honrar o valor e as condições de pagamento ofertados.</w:t>
      </w:r>
    </w:p>
    <w:p>
      <w:pPr>
        <w:pStyle w:val="Normal"/>
        <w:spacing w:before="280" w:after="140"/>
        <w:rPr>
          <w:shd w:fill="auto" w:val="clear"/>
        </w:rPr>
      </w:pPr>
      <w:r>
        <w:rPr>
          <w:rFonts w:eastAsia="Arial" w:cs="Arial"/>
          <w:b/>
          <w:bCs/>
          <w:caps/>
          <w:sz w:val="22"/>
          <w:szCs w:val="22"/>
          <w:shd w:fill="auto" w:val="clear"/>
        </w:rPr>
        <w:t>8. Intermediação</w:t>
      </w:r>
    </w:p>
    <w:p>
      <w:pPr>
        <w:pStyle w:val="Normal"/>
        <w:spacing w:lineRule="exact" w:line="300" w:before="0" w:after="160"/>
        <w:jc w:val="both"/>
        <w:rPr>
          <w:shd w:fill="auto" w:val="clear"/>
        </w:rPr>
      </w:pPr>
      <w:r>
        <w:rPr>
          <w:rFonts w:eastAsia="Arial" w:cs="Arial"/>
          <w:sz w:val="22"/>
          <w:szCs w:val="22"/>
          <w:shd w:fill="auto" w:val="clear"/>
        </w:rPr>
        <w:t>A presente proposta é apresentada por intermédio do Leiloeiro Oficial Sr. Bruno Fernando Meireles Cardoso, matrícula JUCISRS nº 473, e-mail bruno@meirelesleiloes.com.br, telefone (51) 9.8187-2857, para os fins previstos no item “d” da sentença de 03/06/2026, que trata da nomeação do leiloeiro oficial e da distribuição da comissão de leilão.</w:t>
      </w:r>
    </w:p>
    <w:p>
      <w:pPr>
        <w:pStyle w:val="Normal"/>
        <w:spacing w:before="280" w:after="140"/>
        <w:rPr>
          <w:shd w:fill="auto" w:val="clear"/>
        </w:rPr>
      </w:pPr>
      <w:r>
        <w:rPr>
          <w:rFonts w:eastAsia="Arial" w:cs="Arial"/>
          <w:b/>
          <w:bCs/>
          <w:caps/>
          <w:sz w:val="22"/>
          <w:szCs w:val="22"/>
          <w:shd w:fill="auto" w:val="clear"/>
        </w:rPr>
        <w:t>9. Validade e encaminhamento</w:t>
      </w:r>
    </w:p>
    <w:p>
      <w:pPr>
        <w:pStyle w:val="Normal"/>
        <w:spacing w:lineRule="exact" w:line="300" w:before="0" w:after="160"/>
        <w:jc w:val="both"/>
        <w:rPr>
          <w:shd w:fill="auto" w:val="clear"/>
        </w:rPr>
      </w:pPr>
      <w:r>
        <w:rPr>
          <w:rFonts w:eastAsia="Arial" w:cs="Arial"/>
          <w:sz w:val="22"/>
          <w:szCs w:val="22"/>
          <w:shd w:fill="auto" w:val="clear"/>
        </w:rPr>
        <w:t>A presente proposta é apresentada dentro do prazo fixado pelo Juízo (30 de setembro de 2026) e permanece válida e vinculante até a conclusão do procedimento de alienação, inclusive para participação na praça única presencial, caso designada.</w:t>
      </w:r>
    </w:p>
    <w:p>
      <w:pPr>
        <w:pStyle w:val="Normal"/>
        <w:spacing w:lineRule="exact" w:line="300" w:before="0" w:after="160"/>
        <w:jc w:val="both"/>
        <w:rPr>
          <w:shd w:fill="auto" w:val="clear"/>
        </w:rPr>
      </w:pPr>
      <w:r>
        <w:rPr>
          <w:rFonts w:eastAsia="Arial" w:cs="Arial"/>
          <w:sz w:val="22"/>
          <w:szCs w:val="22"/>
          <w:shd w:fill="auto" w:val="clear"/>
        </w:rPr>
        <w:t>Encaminha-se por meio eletrônico diretamente à serventia da Vara Regional Empresarial da Comarca de Caxias do Sul/RS, para juntada aos autos do processo nº 5007531-46.2021.8.21.0005/RS.</w:t>
      </w:r>
    </w:p>
    <w:p>
      <w:pPr>
        <w:pStyle w:val="Normal"/>
        <w:spacing w:before="280" w:after="140"/>
        <w:rPr/>
      </w:pPr>
      <w:r>
        <w:rPr>
          <w:rFonts w:eastAsia="Arial" w:cs="Arial"/>
          <w:b/>
          <w:bCs/>
          <w:caps/>
          <w:sz w:val="22"/>
          <w:szCs w:val="22"/>
        </w:rPr>
        <w:t>10. Documentos anexos</w:t>
      </w:r>
    </w:p>
    <w:p>
      <w:pPr>
        <w:pStyle w:val="ListParagraph"/>
        <w:numPr>
          <w:ilvl w:val="0"/>
          <w:numId w:val="25"/>
        </w:numPr>
        <w:spacing w:lineRule="exact" w:line="300" w:before="0" w:after="160"/>
        <w:jc w:val="both"/>
        <w:rPr/>
      </w:pPr>
      <w:r>
        <w:rPr>
          <w:rFonts w:eastAsia="Arial" w:cs="Arial"/>
          <w:sz w:val="22"/>
          <w:szCs w:val="22"/>
        </w:rPr>
        <w:t>Documento de identidade e CPF do(a) proponente ou de seu(s) representante(s) legal(is);</w:t>
      </w:r>
    </w:p>
    <w:p>
      <w:pPr>
        <w:pStyle w:val="ListParagraph"/>
        <w:numPr>
          <w:ilvl w:val="0"/>
          <w:numId w:val="26"/>
        </w:numPr>
        <w:spacing w:lineRule="exact" w:line="300" w:before="0" w:after="160"/>
        <w:jc w:val="both"/>
        <w:rPr/>
      </w:pPr>
      <w:r>
        <w:rPr>
          <w:rFonts w:eastAsia="Arial" w:cs="Arial"/>
          <w:sz w:val="22"/>
          <w:szCs w:val="22"/>
        </w:rPr>
        <w:t>Contrato / estatuto social consolidado e atos de eleição da administração (pessoa jurídica);</w:t>
      </w:r>
    </w:p>
    <w:p>
      <w:pPr>
        <w:pStyle w:val="ListParagraph"/>
        <w:numPr>
          <w:ilvl w:val="0"/>
          <w:numId w:val="27"/>
        </w:numPr>
        <w:spacing w:lineRule="exact" w:line="300" w:before="0" w:after="160"/>
        <w:jc w:val="both"/>
        <w:rPr/>
      </w:pPr>
      <w:r>
        <w:rPr>
          <w:rFonts w:eastAsia="Arial" w:cs="Arial"/>
          <w:sz w:val="22"/>
          <w:szCs w:val="22"/>
        </w:rPr>
        <w:t>Comprovante de inscrição no CNPJ (pessoa jurídica);</w:t>
      </w:r>
    </w:p>
    <w:p>
      <w:pPr>
        <w:pStyle w:val="ListParagraph"/>
        <w:numPr>
          <w:ilvl w:val="0"/>
          <w:numId w:val="28"/>
        </w:numPr>
        <w:spacing w:lineRule="exact" w:line="300" w:before="0" w:after="160"/>
        <w:jc w:val="both"/>
        <w:rPr/>
      </w:pPr>
      <w:r>
        <w:rPr>
          <w:rFonts w:eastAsia="Arial" w:cs="Arial"/>
          <w:sz w:val="22"/>
          <w:szCs w:val="22"/>
        </w:rPr>
        <w:t>Procuração, se subscrita por procurador;</w:t>
      </w:r>
    </w:p>
    <w:p>
      <w:pPr>
        <w:pStyle w:val="ListParagraph"/>
        <w:spacing w:lineRule="exact" w:line="300" w:before="0" w:after="160"/>
        <w:jc w:val="both"/>
        <w:rPr>
          <w:rFonts w:ascii="Arial" w:hAnsi="Arial" w:eastAsia="Arial" w:cs="Arial"/>
          <w:sz w:val="22"/>
          <w:szCs w:val="22"/>
        </w:rPr>
      </w:pPr>
      <w:r>
        <w:rPr>
          <w:rFonts w:eastAsia="Arial" w:cs="Arial"/>
          <w:sz w:val="22"/>
          <w:szCs w:val="22"/>
        </w:rPr>
      </w:r>
    </w:p>
    <w:p>
      <w:pPr>
        <w:pStyle w:val="Normal"/>
        <w:spacing w:lineRule="exact" w:line="300" w:before="0" w:after="360"/>
        <w:jc w:val="both"/>
        <w:rPr/>
      </w:pPr>
      <w:r>
        <w:rPr>
          <w:rFonts w:eastAsia="Arial" w:cs="Arial"/>
          <w:sz w:val="22"/>
          <w:szCs w:val="22"/>
        </w:rPr>
        <w:t>Nestes termos, pede deferimento.</w:t>
      </w:r>
    </w:p>
    <w:p>
      <w:pPr>
        <w:pStyle w:val="Normal"/>
        <w:spacing w:lineRule="exact" w:line="300" w:before="0" w:after="600"/>
        <w:jc w:val="right"/>
        <w:rPr>
          <w:shd w:fill="81D41A" w:val="clear"/>
        </w:rPr>
      </w:pPr>
      <w:r>
        <w:rPr>
          <w:rFonts w:eastAsia="Arial" w:cs="Arial"/>
          <w:sz w:val="22"/>
          <w:szCs w:val="22"/>
          <w:shd w:fill="81D41A" w:val="clear"/>
        </w:rPr>
        <w:t>[●] (cidade), [●] de [●] de 2026.</w:t>
      </w:r>
    </w:p>
    <w:p>
      <w:pPr>
        <w:pStyle w:val="Normal"/>
        <w:spacing w:before="0" w:after="0"/>
        <w:jc w:val="center"/>
        <w:rPr/>
      </w:pPr>
      <w:r>
        <w:rPr>
          <w:rFonts w:eastAsia="Arial" w:cs="Arial"/>
          <w:sz w:val="22"/>
          <w:szCs w:val="22"/>
        </w:rPr>
        <w:t>______________________________________________</w:t>
      </w:r>
    </w:p>
    <w:p>
      <w:pPr>
        <w:pStyle w:val="Normal"/>
        <w:spacing w:lineRule="exact" w:line="300" w:before="0" w:after="0"/>
        <w:jc w:val="center"/>
        <w:rPr>
          <w:shd w:fill="81D41A" w:val="clear"/>
        </w:rPr>
      </w:pPr>
      <w:r>
        <w:rPr>
          <w:rFonts w:eastAsia="Arial" w:cs="Arial"/>
          <w:sz w:val="22"/>
          <w:szCs w:val="22"/>
          <w:shd w:fill="81D41A" w:val="clear"/>
        </w:rPr>
        <w:t>[●] (nome / razão social do proponente)</w:t>
      </w:r>
    </w:p>
    <w:p>
      <w:pPr>
        <w:pStyle w:val="Normal"/>
        <w:spacing w:lineRule="exact" w:line="300" w:before="0" w:after="0"/>
        <w:jc w:val="center"/>
        <w:rPr>
          <w:shd w:fill="81D41A" w:val="clear"/>
        </w:rPr>
      </w:pPr>
      <w:r>
        <w:rPr>
          <w:rFonts w:eastAsia="Arial" w:cs="Arial"/>
          <w:sz w:val="22"/>
          <w:szCs w:val="22"/>
          <w:shd w:fill="81D41A" w:val="clear"/>
        </w:rPr>
        <w:t>CPF / CNPJ [●]</w:t>
      </w:r>
    </w:p>
    <w:p>
      <w:pPr>
        <w:pStyle w:val="Normal"/>
        <w:spacing w:lineRule="exact" w:line="300" w:before="0" w:after="600"/>
        <w:jc w:val="center"/>
        <w:rPr>
          <w:shd w:fill="81D41A" w:val="clear"/>
        </w:rPr>
      </w:pPr>
      <w:r>
        <w:rPr>
          <w:rFonts w:eastAsia="Arial" w:cs="Arial"/>
          <w:sz w:val="22"/>
          <w:szCs w:val="22"/>
          <w:shd w:fill="81D41A" w:val="clear"/>
        </w:rPr>
        <w:t>Por: [●] (representante legal) – CPF [●]</w:t>
      </w:r>
    </w:p>
    <w:p>
      <w:pPr>
        <w:pStyle w:val="Normal"/>
        <w:spacing w:lineRule="exact" w:line="300" w:before="0" w:after="600"/>
        <w:jc w:val="center"/>
        <w:rPr>
          <w:rFonts w:ascii="Arial" w:hAnsi="Arial" w:eastAsia="Arial" w:cs="Arial"/>
          <w:sz w:val="22"/>
          <w:szCs w:val="22"/>
        </w:rPr>
      </w:pPr>
      <w:r>
        <w:rPr>
          <w:rFonts w:eastAsia="Arial" w:cs="Arial"/>
          <w:sz w:val="22"/>
          <w:szCs w:val="22"/>
        </w:rPr>
      </w:r>
    </w:p>
    <w:p>
      <w:pPr>
        <w:pStyle w:val="Normal"/>
        <w:spacing w:before="0" w:after="0"/>
        <w:jc w:val="center"/>
        <w:rPr>
          <w:shd w:fill="auto" w:val="clear"/>
        </w:rPr>
      </w:pPr>
      <w:r>
        <w:rPr>
          <w:rFonts w:eastAsia="Arial" w:cs="Arial"/>
          <w:sz w:val="22"/>
          <w:szCs w:val="22"/>
          <w:shd w:fill="auto" w:val="clear"/>
        </w:rPr>
        <w:t>______________________________________________</w:t>
      </w:r>
    </w:p>
    <w:p>
      <w:pPr>
        <w:pStyle w:val="Normal"/>
        <w:spacing w:lineRule="exact" w:line="300" w:before="0" w:after="160"/>
        <w:jc w:val="center"/>
        <w:rPr>
          <w:shd w:fill="auto" w:val="clear"/>
        </w:rPr>
      </w:pPr>
      <w:r>
        <w:rPr>
          <w:rFonts w:eastAsia="Arial" w:cs="Arial"/>
          <w:sz w:val="22"/>
          <w:szCs w:val="22"/>
          <w:shd w:fill="auto" w:val="clear"/>
        </w:rPr>
        <w:t>Bruno Fernando Meireles Cardoso</w:t>
      </w:r>
    </w:p>
    <w:p>
      <w:pPr>
        <w:pStyle w:val="Normal"/>
        <w:spacing w:lineRule="exact" w:line="300" w:before="0" w:after="160"/>
        <w:jc w:val="center"/>
        <w:rPr>
          <w:shd w:fill="auto" w:val="clear"/>
        </w:rPr>
      </w:pPr>
      <w:r>
        <w:rPr>
          <w:rFonts w:eastAsia="Arial" w:cs="Arial"/>
          <w:sz w:val="22"/>
          <w:szCs w:val="22"/>
          <w:shd w:fill="auto" w:val="clear"/>
        </w:rPr>
        <w:t>LEILOEIRO OFICIAL | JUCISRS nº 473</w:t>
      </w:r>
    </w:p>
    <w:sectPr>
      <w:headerReference w:type="default" r:id="rId2"/>
      <w:footerReference w:type="default" r:id="rId3"/>
      <w:type w:val="nextPage"/>
      <w:pgSz w:w="11906" w:h="16838"/>
      <w:pgMar w:left="1701" w:right="1418" w:header="1418" w:top="1954" w:footer="1418" w:bottom="1954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Arial">
    <w:charset w:val="00"/>
    <w:family w:val="roman"/>
    <w:pitch w:val="variable"/>
  </w:font>
  <w:font w:name="Liberation Sans">
    <w:altName w:val="Arial"/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Rodap"/>
      <w:rPr/>
    </w:pPr>
    <w:r>
      <w:rPr/>
      <w:drawing>
        <wp:anchor behindDoc="0" distT="0" distB="0" distL="0" distR="0" simplePos="0" locked="0" layoutInCell="0" allowOverlap="1" relativeHeight="8">
          <wp:simplePos x="0" y="0"/>
          <wp:positionH relativeFrom="column">
            <wp:posOffset>0</wp:posOffset>
          </wp:positionH>
          <wp:positionV relativeFrom="paragraph">
            <wp:posOffset>276860</wp:posOffset>
          </wp:positionV>
          <wp:extent cx="6120130" cy="618490"/>
          <wp:effectExtent l="0" t="0" r="0" b="0"/>
          <wp:wrapTopAndBottom/>
          <wp:docPr id="2" name="figuras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figuras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6184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abealho"/>
      <w:rPr/>
    </w:pPr>
    <w:r>
      <w:rPr/>
      <w:drawing>
        <wp:anchor behindDoc="0" distT="0" distB="0" distL="0" distR="0" simplePos="0" locked="0" layoutInCell="0" allowOverlap="1" relativeHeight="2">
          <wp:simplePos x="0" y="0"/>
          <wp:positionH relativeFrom="column">
            <wp:align>center</wp:align>
          </wp:positionH>
          <wp:positionV relativeFrom="paragraph">
            <wp:posOffset>-333375</wp:posOffset>
          </wp:positionV>
          <wp:extent cx="651510" cy="430530"/>
          <wp:effectExtent l="0" t="0" r="0" b="0"/>
          <wp:wrapTopAndBottom/>
          <wp:docPr id="1" name="Figura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Figura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51510" cy="4305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5"/>
    <w:lvlOverride w:ilvl="0">
      <w:startOverride w:val="1"/>
    </w:lvlOverride>
  </w:num>
  <w:num w:numId="11">
    <w:abstractNumId w:val="5"/>
  </w:num>
  <w:num w:numId="12">
    <w:abstractNumId w:val="5"/>
  </w:num>
  <w:num w:numId="13">
    <w:abstractNumId w:val="5"/>
  </w:num>
  <w:num w:numId="14">
    <w:abstractNumId w:val="5"/>
  </w:num>
  <w:num w:numId="15">
    <w:abstractNumId w:val="5"/>
  </w:num>
  <w:num w:numId="16">
    <w:abstractNumId w:val="6"/>
    <w:lvlOverride w:ilvl="0">
      <w:startOverride w:val="1"/>
    </w:lvlOverride>
  </w:num>
  <w:num w:numId="17">
    <w:abstractNumId w:val="6"/>
  </w:num>
  <w:num w:numId="18">
    <w:abstractNumId w:val="6"/>
  </w:num>
  <w:num w:numId="19">
    <w:abstractNumId w:val="6"/>
  </w:num>
  <w:num w:numId="20">
    <w:abstractNumId w:val="6"/>
  </w:num>
  <w:num w:numId="21">
    <w:abstractNumId w:val="6"/>
  </w:num>
  <w:num w:numId="22">
    <w:abstractNumId w:val="7"/>
    <w:lvlOverride w:ilvl="0">
      <w:startOverride w:val="1"/>
    </w:lvlOverride>
  </w:num>
  <w:num w:numId="23">
    <w:abstractNumId w:val="7"/>
  </w:num>
  <w:num w:numId="24">
    <w:abstractNumId w:val="7"/>
  </w:num>
  <w:num w:numId="25">
    <w:abstractNumId w:val="8"/>
    <w:lvlOverride w:ilvl="0">
      <w:startOverride w:val="1"/>
    </w:lvlOverride>
  </w:num>
  <w:num w:numId="26">
    <w:abstractNumId w:val="8"/>
  </w:num>
  <w:num w:numId="27">
    <w:abstractNumId w:val="8"/>
  </w:num>
  <w:num w:numId="28">
    <w:abstractNumId w:val="8"/>
  </w:num>
</w:numbering>
</file>

<file path=word/settings.xml><?xml version="1.0" encoding="utf-8"?>
<w:settings xmlns:w="http://schemas.openxmlformats.org/wordprocessingml/2006/main">
  <w:zoom w:percent="120"/>
  <w:defaultTabStop w:val="720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Arial" w:cs="Arial"/>
        <w:sz w:val="22"/>
        <w:szCs w:val="22"/>
        <w:lang w:val="pt-BR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Arial" w:hAnsi="Arial" w:eastAsia="Arial" w:cs="Arial"/>
      <w:color w:val="auto"/>
      <w:kern w:val="0"/>
      <w:sz w:val="22"/>
      <w:szCs w:val="22"/>
      <w:lang w:val="pt-BR" w:eastAsia="zh-CN" w:bidi="hi-IN"/>
    </w:rPr>
  </w:style>
  <w:style w:type="paragraph" w:styleId="Ttulo1">
    <w:name w:val="Heading 1"/>
    <w:basedOn w:val="Ttulo"/>
    <w:qFormat/>
    <w:pPr/>
    <w:rPr>
      <w:color w:val="2E74B5"/>
      <w:sz w:val="32"/>
      <w:szCs w:val="32"/>
    </w:rPr>
  </w:style>
  <w:style w:type="paragraph" w:styleId="Ttulo2">
    <w:name w:val="Heading 2"/>
    <w:basedOn w:val="Ttulo"/>
    <w:qFormat/>
    <w:pPr/>
    <w:rPr>
      <w:color w:val="2E74B5"/>
      <w:sz w:val="26"/>
      <w:szCs w:val="26"/>
    </w:rPr>
  </w:style>
  <w:style w:type="paragraph" w:styleId="Ttulo3">
    <w:name w:val="Heading 3"/>
    <w:basedOn w:val="Ttulo"/>
    <w:qFormat/>
    <w:pPr/>
    <w:rPr>
      <w:color w:val="1F4D78"/>
      <w:sz w:val="24"/>
      <w:szCs w:val="24"/>
    </w:rPr>
  </w:style>
  <w:style w:type="paragraph" w:styleId="Ttulo4">
    <w:name w:val="Heading 4"/>
    <w:basedOn w:val="Ttulo"/>
    <w:qFormat/>
    <w:pPr/>
    <w:rPr>
      <w:i/>
      <w:iCs/>
      <w:color w:val="2E74B5"/>
    </w:rPr>
  </w:style>
  <w:style w:type="paragraph" w:styleId="Ttulo5">
    <w:name w:val="Heading 5"/>
    <w:basedOn w:val="Ttulo"/>
    <w:qFormat/>
    <w:pPr/>
    <w:rPr>
      <w:color w:val="2E74B5"/>
    </w:rPr>
  </w:style>
  <w:style w:type="paragraph" w:styleId="Ttulo6">
    <w:name w:val="Heading 6"/>
    <w:basedOn w:val="Ttulo"/>
    <w:qFormat/>
    <w:pPr/>
    <w:rPr>
      <w:color w:val="1F4D78"/>
    </w:rPr>
  </w:style>
  <w:style w:type="character" w:styleId="LinkdaInternet">
    <w:name w:val="Link da Internet"/>
    <w:uiPriority w:val="99"/>
    <w:unhideWhenUsed/>
    <w:rPr>
      <w:color w:val="0563C1"/>
      <w:u w:val="single"/>
    </w:rPr>
  </w:style>
  <w:style w:type="character" w:styleId="Ncoradanotaderodap">
    <w:name w:val="Âncora da nota de rodapé"/>
    <w:rPr>
      <w:vertAlign w:val="superscript"/>
    </w:rPr>
  </w:style>
  <w:style w:type="character" w:styleId="FootnoteCharacters">
    <w:name w:val="Footnote Characters"/>
    <w:uiPriority w:val="99"/>
    <w:semiHidden/>
    <w:unhideWhenUsed/>
    <w:qFormat/>
    <w:rPr>
      <w:vertAlign w:val="superscript"/>
    </w:rPr>
  </w:style>
  <w:style w:type="character" w:styleId="FootnoteTextChar">
    <w:name w:val="Footnote Text Char"/>
    <w:link w:val="FootnoteText"/>
    <w:uiPriority w:val="99"/>
    <w:semiHidden/>
    <w:unhideWhenUsed/>
    <w:qFormat/>
    <w:rPr>
      <w:sz w:val="20"/>
      <w:szCs w:val="20"/>
    </w:rPr>
  </w:style>
  <w:style w:type="character" w:styleId="Ncoradanotadefim">
    <w:name w:val="Âncora da nota de fim"/>
    <w:rPr>
      <w:vertAlign w:val="superscript"/>
    </w:rPr>
  </w:style>
  <w:style w:type="character" w:styleId="EndnoteCharacters">
    <w:name w:val="Endnote Characters"/>
    <w:uiPriority w:val="99"/>
    <w:semiHidden/>
    <w:unhideWhenUsed/>
    <w:qFormat/>
    <w:rPr>
      <w:vertAlign w:val="superscript"/>
    </w:rPr>
  </w:style>
  <w:style w:type="character" w:styleId="EndnoteTextChar">
    <w:name w:val="Endnote Text Char"/>
    <w:link w:val="EndnoteText"/>
    <w:uiPriority w:val="99"/>
    <w:semiHidden/>
    <w:unhideWhenUsed/>
    <w:qFormat/>
    <w:rPr>
      <w:sz w:val="20"/>
      <w:szCs w:val="20"/>
    </w:rPr>
  </w:style>
  <w:style w:type="paragraph" w:styleId="Ttulo">
    <w:name w:val="Título"/>
    <w:basedOn w:val="Normal"/>
    <w:next w:val="Corpodotex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otexto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Corpodotexto"/>
    <w:pPr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</w:rPr>
  </w:style>
  <w:style w:type="paragraph" w:styleId="Ttulododocumento">
    <w:name w:val="Title"/>
    <w:basedOn w:val="Ttulo"/>
    <w:qFormat/>
    <w:pPr/>
    <w:rPr>
      <w:sz w:val="56"/>
      <w:szCs w:val="56"/>
    </w:rPr>
  </w:style>
  <w:style w:type="paragraph" w:styleId="Strong">
    <w:name w:val="Strong"/>
    <w:qFormat/>
    <w:pPr>
      <w:widowControl/>
      <w:suppressAutoHyphens w:val="true"/>
      <w:bidi w:val="0"/>
      <w:spacing w:before="0" w:after="0"/>
      <w:jc w:val="left"/>
    </w:pPr>
    <w:rPr>
      <w:rFonts w:ascii="Arial" w:hAnsi="Arial" w:eastAsia="Arial" w:cs="Arial"/>
      <w:b/>
      <w:bCs/>
      <w:color w:val="auto"/>
      <w:kern w:val="0"/>
      <w:sz w:val="22"/>
      <w:szCs w:val="22"/>
      <w:lang w:val="pt-BR" w:eastAsia="zh-CN" w:bidi="hi-IN"/>
    </w:rPr>
  </w:style>
  <w:style w:type="paragraph" w:styleId="ListParagraph">
    <w:name w:val="List Paragraph"/>
    <w:qFormat/>
    <w:pPr>
      <w:widowControl/>
      <w:suppressAutoHyphens w:val="true"/>
      <w:bidi w:val="0"/>
      <w:spacing w:before="0" w:after="0"/>
      <w:jc w:val="left"/>
    </w:pPr>
    <w:rPr>
      <w:rFonts w:ascii="Arial" w:hAnsi="Arial" w:eastAsia="Arial" w:cs="Arial"/>
      <w:color w:val="auto"/>
      <w:kern w:val="0"/>
      <w:sz w:val="22"/>
      <w:szCs w:val="22"/>
      <w:lang w:val="pt-BR" w:eastAsia="zh-CN" w:bidi="hi-IN"/>
    </w:rPr>
  </w:style>
  <w:style w:type="paragraph" w:styleId="Notaderodap">
    <w:name w:val="Footnote Text"/>
    <w:basedOn w:val="Normal"/>
    <w:link w:val="FootnoteTextChar"/>
    <w:uiPriority w:val="99"/>
    <w:semiHidden/>
    <w:unhideWhenUsed/>
    <w:pPr>
      <w:spacing w:lineRule="auto" w:line="240" w:before="0" w:after="0"/>
    </w:pPr>
    <w:rPr>
      <w:sz w:val="20"/>
      <w:szCs w:val="20"/>
    </w:rPr>
  </w:style>
  <w:style w:type="paragraph" w:styleId="Notadefim">
    <w:name w:val="Endnote Text"/>
    <w:basedOn w:val="Normal"/>
    <w:link w:val="EndnoteTextChar"/>
    <w:uiPriority w:val="99"/>
    <w:semiHidden/>
    <w:unhideWhenUsed/>
    <w:pPr>
      <w:spacing w:lineRule="auto" w:line="240" w:before="0" w:after="0"/>
    </w:pPr>
    <w:rPr>
      <w:sz w:val="20"/>
      <w:szCs w:val="20"/>
    </w:rPr>
  </w:style>
  <w:style w:type="paragraph" w:styleId="CabealhoeRodap">
    <w:name w:val="Cabeçalho e Rodapé"/>
    <w:basedOn w:val="Normal"/>
    <w:qFormat/>
    <w:pPr>
      <w:suppressLineNumbers/>
      <w:tabs>
        <w:tab w:val="clear" w:pos="720"/>
        <w:tab w:val="center" w:pos="4393" w:leader="none"/>
        <w:tab w:val="right" w:pos="8787" w:leader="none"/>
      </w:tabs>
    </w:pPr>
    <w:rPr/>
  </w:style>
  <w:style w:type="paragraph" w:styleId="Cabealho">
    <w:name w:val="Header"/>
    <w:basedOn w:val="CabealhoeRodap"/>
    <w:pPr>
      <w:suppressLineNumbers/>
    </w:pPr>
    <w:rPr/>
  </w:style>
  <w:style w:type="paragraph" w:styleId="Rodap">
    <w:name w:val="Footer"/>
    <w:basedOn w:val="CabealhoeRodap"/>
    <w:pPr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
</Relationships>
</file>

<file path=word/_rels/footer1.xml.rels><?xml version="1.0" encoding="UTF-8"?>
<Relationships xmlns="http://schemas.openxmlformats.org/package/2006/relationships"><Relationship Id="rId1" Type="http://schemas.openxmlformats.org/officeDocument/2006/relationships/image" Target="media/image2.png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11</TotalTime>
  <Application>LibreOffice/7.0.6.2$Windows_X86_64 LibreOffice_project/144abb84a525d8e30c9dbbefa69cbbf2d8d4ae3b</Application>
  <AppVersion>15.0000</AppVersion>
  <Pages>4</Pages>
  <Words>1081</Words>
  <Characters>6061</Characters>
  <CharactersWithSpaces>7053</CharactersWithSpaces>
  <Paragraphs>74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2026-09-24T11:13:25Z</dcterms:created>
  <dc:creator>Un-named</dc:creator>
  <dc:description/>
  <dc:language>pt-BR</dc:language>
  <cp:lastModifiedBy/>
  <dcterms:modified xsi:type="dcterms:W3CDTF">2026-09-24T11:37:01Z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