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val="pt-BR" w:eastAsia="en-US" w:bidi="ar-SA"/>
        </w:rPr>
      </w:pPr>
      <w:r>
        <w:rPr>
          <w:b/>
          <w:lang w:val="pt-BR" w:eastAsia="en-US" w:bidi="ar-SA"/>
        </w:rPr>
        <w:t>EXCELENTÍSSIMO SENHOR DOUTOR JUIZ DA [VARA/JUÍZO COMPETENTE]</w:t>
      </w:r>
    </w:p>
    <w:p>
      <w:pPr>
        <w:pStyle w:val="Normal"/>
        <w:rPr>
          <w:lang w:val="pt-BR" w:eastAsia="en-US" w:bidi="ar-SA"/>
        </w:rPr>
      </w:pPr>
      <w:r>
        <w:rPr>
          <w:lang w:val="pt-BR" w:eastAsia="en-US" w:bidi="ar-SA"/>
        </w:rPr>
      </w:r>
    </w:p>
    <w:p>
      <w:pPr>
        <w:pStyle w:val="Normal"/>
        <w:ind w:left="0" w:hanging="0"/>
        <w:jc w:val="left"/>
        <w:rPr>
          <w:lang w:val="pt-BR" w:eastAsia="en-US" w:bidi="ar-SA"/>
        </w:rPr>
      </w:pPr>
      <w:r>
        <w:rPr>
          <w:b/>
          <w:i w:val="false"/>
          <w:lang w:val="pt-BR" w:eastAsia="en-US" w:bidi="ar-SA"/>
        </w:rPr>
        <w:t>Ref.: Processo nº. [NÚMERO DO PROCESSO]</w:t>
      </w:r>
    </w:p>
    <w:p>
      <w:pPr>
        <w:pStyle w:val="Normal"/>
        <w:ind w:left="0" w:hanging="0"/>
        <w:jc w:val="left"/>
        <w:rPr>
          <w:lang w:val="pt-BR" w:eastAsia="en-US" w:bidi="ar-SA"/>
        </w:rPr>
      </w:pPr>
      <w:r>
        <w:rPr>
          <w:b/>
          <w:i w:val="false"/>
          <w:lang w:val="pt-BR" w:eastAsia="en-US" w:bidi="ar-SA"/>
        </w:rPr>
        <w:t>EXEQUENTE: [NOME DO EXEQUENTE]</w:t>
      </w:r>
    </w:p>
    <w:p>
      <w:pPr>
        <w:pStyle w:val="Normal"/>
        <w:ind w:left="0" w:hanging="0"/>
        <w:jc w:val="left"/>
        <w:rPr>
          <w:lang w:val="pt-BR" w:eastAsia="en-US" w:bidi="ar-SA"/>
        </w:rPr>
      </w:pPr>
      <w:r>
        <w:rPr>
          <w:b/>
          <w:i w:val="false"/>
          <w:lang w:val="pt-BR" w:eastAsia="en-US" w:bidi="ar-SA"/>
        </w:rPr>
        <w:t>EXECUTADO: [NOME DO EXECUTADO]</w:t>
      </w:r>
    </w:p>
    <w:p>
      <w:pPr>
        <w:pStyle w:val="Normal"/>
        <w:rPr>
          <w:lang w:val="pt-BR" w:eastAsia="en-US" w:bidi="ar-SA"/>
        </w:rPr>
      </w:pPr>
      <w:r>
        <w:rPr>
          <w:lang w:val="pt-BR" w:eastAsia="en-US" w:bidi="ar-SA"/>
        </w:rPr>
      </w:r>
    </w:p>
    <w:p>
      <w:pPr>
        <w:pStyle w:val="Normal"/>
        <w:spacing w:before="113" w:after="113"/>
        <w:ind w:left="0" w:right="0" w:firstLine="1701"/>
        <w:jc w:val="both"/>
        <w:rPr>
          <w:lang w:val="pt-BR" w:eastAsia="en-US" w:bidi="ar-SA"/>
        </w:rPr>
      </w:pPr>
      <w:r>
        <w:rPr>
          <w:b/>
          <w:lang w:val="pt-BR" w:eastAsia="en-US" w:bidi="ar-SA"/>
        </w:rPr>
        <w:t>[NOME DO ARREMATANTE],</w:t>
      </w:r>
      <w:r>
        <w:rPr>
          <w:lang w:val="pt-BR" w:eastAsia="en-US" w:bidi="ar-SA"/>
        </w:rPr>
        <w:t xml:space="preserve"> devidamente qualificado como ARREMATANTE, conforme auto de arrematação do Id. </w:t>
      </w:r>
      <w:r>
        <w:rPr>
          <w:b/>
          <w:bCs/>
          <w:lang w:val="pt-BR" w:eastAsia="en-US" w:bidi="ar-SA"/>
        </w:rPr>
        <w:t>[ID DO AUTO DE ARREMATAÇÃO]</w:t>
      </w:r>
      <w:r>
        <w:rPr>
          <w:lang w:val="pt-BR" w:eastAsia="en-US" w:bidi="ar-SA"/>
        </w:rPr>
        <w:t>, vem à presença de vossa excelência, mui respeitosamente, expor e ao final requerer o quanto segue:</w:t>
      </w:r>
    </w:p>
    <w:p>
      <w:pPr>
        <w:pStyle w:val="Normal"/>
        <w:spacing w:before="113" w:after="113"/>
        <w:ind w:left="0" w:right="0" w:firstLine="1701"/>
        <w:jc w:val="both"/>
        <w:rPr>
          <w:lang w:val="pt-BR" w:eastAsia="en-US" w:bidi="ar-SA"/>
        </w:rPr>
      </w:pPr>
      <w:r>
        <w:rPr>
          <w:b w:val="false"/>
          <w:i w:val="false"/>
          <w:lang w:val="pt-BR" w:eastAsia="en-US" w:bidi="ar-SA"/>
        </w:rPr>
        <w:t>Esta ARREMATANTE participou de leilão judicial realizado de forma vinculada aos presentes autos, vindo a arrematar o seguinte bem:</w:t>
      </w:r>
    </w:p>
    <w:p>
      <w:pPr>
        <w:pStyle w:val="Normal"/>
        <w:spacing w:before="113" w:after="113"/>
        <w:ind w:left="0" w:right="0" w:firstLine="1701"/>
        <w:jc w:val="both"/>
        <w:rPr>
          <w:lang w:val="pt-BR" w:eastAsia="en-US" w:bidi="ar-SA"/>
        </w:rPr>
      </w:pPr>
      <w:r>
        <w:rPr>
          <w:b/>
          <w:bCs/>
          <w:i/>
          <w:lang w:val="pt-BR" w:eastAsia="en-US" w:bidi="ar-SA"/>
        </w:rPr>
        <w:t>[DESCRIÇÃO DO BEM ARREMATADO]</w:t>
      </w:r>
    </w:p>
    <w:p>
      <w:pPr>
        <w:pStyle w:val="Normal"/>
        <w:spacing w:before="113" w:after="113"/>
        <w:ind w:left="0" w:right="0" w:firstLine="1701"/>
        <w:jc w:val="both"/>
        <w:rPr>
          <w:lang w:val="pt-BR" w:eastAsia="en-US" w:bidi="ar-SA"/>
        </w:rPr>
      </w:pPr>
      <w:r>
        <w:rPr>
          <w:b w:val="false"/>
          <w:i w:val="false"/>
          <w:lang w:val="pt-BR" w:eastAsia="en-US" w:bidi="ar-SA"/>
        </w:rPr>
        <w:t xml:space="preserve">A arrematação foi paga com uma entrada correspondente a </w:t>
      </w:r>
      <w:r>
        <w:rPr>
          <w:b/>
          <w:bCs/>
          <w:i w:val="false"/>
          <w:lang w:val="pt-BR" w:eastAsia="en-US" w:bidi="ar-SA"/>
        </w:rPr>
        <w:t>[PERCENTUAL]%</w:t>
      </w:r>
      <w:r>
        <w:rPr>
          <w:b w:val="false"/>
          <w:i w:val="false"/>
          <w:lang w:val="pt-BR" w:eastAsia="en-US" w:bidi="ar-SA"/>
        </w:rPr>
        <w:t xml:space="preserve"> do valor do lance, correspondente à R$ </w:t>
      </w:r>
      <w:r>
        <w:rPr>
          <w:b/>
          <w:bCs/>
          <w:i w:val="false"/>
          <w:lang w:val="pt-BR" w:eastAsia="en-US" w:bidi="ar-SA"/>
        </w:rPr>
        <w:t>[VALOR DA ENTRADA] ([VALOR POR EXTENSO])</w:t>
      </w:r>
      <w:r>
        <w:rPr>
          <w:b w:val="false"/>
          <w:i w:val="false"/>
          <w:lang w:val="pt-BR" w:eastAsia="en-US" w:bidi="ar-SA"/>
        </w:rPr>
        <w:t xml:space="preserve"> e, o restante, </w:t>
      </w:r>
      <w:r>
        <w:rPr>
          <w:b/>
          <w:bCs/>
          <w:i w:val="false"/>
          <w:lang w:val="pt-BR" w:eastAsia="en-US" w:bidi="ar-SA"/>
        </w:rPr>
        <w:t>R$ [SALDO DO PREÇO] ([VALOR POR EXTENSO])</w:t>
      </w:r>
      <w:r>
        <w:rPr>
          <w:b w:val="false"/>
          <w:i w:val="false"/>
          <w:lang w:val="pt-BR" w:eastAsia="en-US" w:bidi="ar-SA"/>
        </w:rPr>
        <w:t xml:space="preserve">, dividido em </w:t>
      </w:r>
      <w:r>
        <w:rPr>
          <w:b/>
          <w:bCs/>
          <w:i w:val="false"/>
          <w:lang w:val="pt-BR" w:eastAsia="en-US" w:bidi="ar-SA"/>
        </w:rPr>
        <w:t>[NÚMERO]</w:t>
      </w:r>
      <w:r>
        <w:rPr>
          <w:b w:val="false"/>
          <w:i w:val="false"/>
          <w:lang w:val="pt-BR" w:eastAsia="en-US" w:bidi="ar-SA"/>
        </w:rPr>
        <w:t xml:space="preserve"> parcelas iguais e sucessivas de </w:t>
      </w:r>
      <w:r>
        <w:rPr>
          <w:b/>
          <w:bCs/>
          <w:i w:val="false"/>
          <w:lang w:val="pt-BR" w:eastAsia="en-US" w:bidi="ar-SA"/>
        </w:rPr>
        <w:t>R$ [VALOR DA PARCELA] ([VALOR POR EXTENSO])</w:t>
      </w:r>
      <w:r>
        <w:rPr>
          <w:b w:val="false"/>
          <w:i w:val="false"/>
          <w:lang w:val="pt-BR" w:eastAsia="en-US" w:bidi="ar-SA"/>
        </w:rPr>
        <w:t xml:space="preserve">, totalizando </w:t>
      </w:r>
      <w:r>
        <w:rPr>
          <w:b/>
          <w:bCs/>
          <w:i w:val="false"/>
          <w:lang w:val="pt-BR" w:eastAsia="en-US" w:bidi="ar-SA"/>
        </w:rPr>
        <w:t>R$ [VALOR TOTAL DA ARREMATAÇÃO] ([VALOR POR EXTENSO])</w:t>
      </w:r>
      <w:r>
        <w:rPr>
          <w:b w:val="false"/>
          <w:i w:val="false"/>
          <w:lang w:val="pt-BR" w:eastAsia="en-US" w:bidi="ar-SA"/>
        </w:rPr>
        <w:t>.</w:t>
      </w:r>
    </w:p>
    <w:p>
      <w:pPr>
        <w:pStyle w:val="Normal"/>
        <w:spacing w:before="113" w:after="113"/>
        <w:ind w:left="0" w:right="0" w:firstLine="1701"/>
        <w:jc w:val="both"/>
        <w:rPr>
          <w:lang w:val="pt-BR" w:eastAsia="en-US" w:bidi="ar-SA"/>
        </w:rPr>
      </w:pPr>
      <w:r>
        <w:rPr>
          <w:b w:val="false"/>
          <w:i w:val="false"/>
          <w:lang w:val="pt-BR" w:eastAsia="en-US" w:bidi="ar-SA"/>
        </w:rPr>
        <w:t xml:space="preserve">No Id. Num. </w:t>
      </w:r>
      <w:r>
        <w:rPr>
          <w:b/>
          <w:bCs/>
          <w:i w:val="false"/>
          <w:lang w:val="pt-BR" w:eastAsia="en-US" w:bidi="ar-SA"/>
        </w:rPr>
        <w:t>[ID],</w:t>
      </w:r>
      <w:r>
        <w:rPr>
          <w:b w:val="false"/>
          <w:i w:val="false"/>
          <w:lang w:val="pt-BR" w:eastAsia="en-US" w:bidi="ar-SA"/>
        </w:rPr>
        <w:t xml:space="preserve"> o Leiloeiro Oficial informou o pagamento da entrada, bem como, da comissão no montante de </w:t>
      </w:r>
      <w:r>
        <w:rPr>
          <w:b/>
          <w:bCs/>
          <w:i w:val="false"/>
          <w:lang w:val="pt-BR" w:eastAsia="en-US" w:bidi="ar-SA"/>
        </w:rPr>
        <w:t>R$ [VALOR DA COMISSÃO] ([VALOR POR EXTENSO])</w:t>
      </w:r>
      <w:r>
        <w:rPr>
          <w:b w:val="false"/>
          <w:i w:val="false"/>
          <w:lang w:val="pt-BR" w:eastAsia="en-US" w:bidi="ar-SA"/>
        </w:rPr>
        <w:t xml:space="preserve">. Ato contínuo, no Id </w:t>
      </w:r>
      <w:r>
        <w:rPr>
          <w:b/>
          <w:bCs/>
          <w:i w:val="false"/>
          <w:lang w:val="pt-BR" w:eastAsia="en-US" w:bidi="ar-SA"/>
        </w:rPr>
        <w:t>[ID]</w:t>
      </w:r>
      <w:r>
        <w:rPr>
          <w:b w:val="false"/>
          <w:i w:val="false"/>
          <w:lang w:val="pt-BR" w:eastAsia="en-US" w:bidi="ar-SA"/>
        </w:rPr>
        <w:t xml:space="preserve"> este R. Juízo proferiu despacho determinando a intimação das partes sobre a Arrematação ocorrida.</w:t>
      </w:r>
    </w:p>
    <w:p>
      <w:pPr>
        <w:pStyle w:val="Normal"/>
        <w:spacing w:before="113" w:after="113"/>
        <w:ind w:left="0" w:right="0" w:firstLine="1701"/>
        <w:jc w:val="both"/>
        <w:rPr>
          <w:lang w:val="pt-BR" w:eastAsia="en-US" w:bidi="ar-SA"/>
        </w:rPr>
      </w:pPr>
      <w:r>
        <w:rPr>
          <w:b w:val="false"/>
          <w:i w:val="false"/>
          <w:lang w:val="pt-BR" w:eastAsia="en-US" w:bidi="ar-SA"/>
        </w:rPr>
        <w:t xml:space="preserve">Ocorre, Excelência, que embora não tenha constado em edital de leilão,  tem se firmado a jurisprudência pátria que a comissão do Leiloeiro Oficial, embora inicialmente suportada pelo arrematante, pode ser deduzida do saldo excedente do produto da arrematação, antes da restituição do remanescente ao executado, quando satisfeitos integralmente o crédito exequendo e as despesas processuais, desde que preservada a ordem de preferência dos créditos e inexistente prejuízo a terceiros, conforme o </w:t>
      </w:r>
      <w:r>
        <w:rPr>
          <w:b/>
          <w:bCs/>
          <w:i w:val="false"/>
          <w:lang w:val="pt-BR" w:eastAsia="en-US" w:bidi="ar-SA"/>
        </w:rPr>
        <w:t>art. 7º, § 4º, da Resolução CNJ nº 236/2016</w:t>
      </w:r>
      <w:r>
        <w:rPr>
          <w:b w:val="false"/>
          <w:bCs w:val="false"/>
          <w:i w:val="false"/>
          <w:lang w:val="pt-BR" w:eastAsia="en-US" w:bidi="ar-SA"/>
        </w:rPr>
        <w:t>, vejamos:</w:t>
      </w:r>
    </w:p>
    <w:p>
      <w:pPr>
        <w:pStyle w:val="Normal"/>
        <w:widowControl/>
        <w:bidi w:val="0"/>
        <w:spacing w:lineRule="auto" w:line="360" w:before="0" w:after="0"/>
        <w:ind w:left="1701" w:right="567" w:hanging="0"/>
        <w:jc w:val="both"/>
        <w:rPr>
          <w:lang w:val="pt-BR" w:eastAsia="en-US" w:bidi="ar-SA"/>
        </w:rPr>
      </w:pPr>
      <w:r>
        <w:rPr>
          <w:b w:val="false"/>
          <w:i/>
          <w:lang w:val="pt-BR" w:eastAsia="en-US" w:bidi="ar-SA"/>
        </w:rPr>
        <w:t>Art. 7º Além da comissão sobre o valor de arrematação, a ser fixada pelo magistrado (art. 884, parágrafo único), no mínimo de 5% (cinco por cento) sobre o valor da arrematação (art. 24, parágrafo único, do Decreto 21.981/1932), a cargo do arrematante, fará jus o leiloeiro público ao ressarcimento das despesas com a remoção, guarda e conservação dos bens, desde que documentalmente comprovadas, na forma da lei.</w:t>
      </w:r>
    </w:p>
    <w:p>
      <w:pPr>
        <w:pStyle w:val="Normal"/>
        <w:widowControl/>
        <w:bidi w:val="0"/>
        <w:spacing w:lineRule="auto" w:line="360" w:before="0" w:after="0"/>
        <w:ind w:left="1701" w:right="567" w:hanging="0"/>
        <w:jc w:val="both"/>
        <w:rPr>
          <w:lang w:val="pt-BR" w:eastAsia="en-US" w:bidi="ar-SA"/>
        </w:rPr>
      </w:pPr>
      <w:r>
        <w:rPr>
          <w:b w:val="false"/>
          <w:i/>
          <w:lang w:val="pt-BR" w:eastAsia="en-US" w:bidi="ar-SA"/>
        </w:rPr>
        <w:t>(…) Omissis</w:t>
      </w:r>
    </w:p>
    <w:p>
      <w:pPr>
        <w:pStyle w:val="Normal"/>
        <w:widowControl/>
        <w:bidi w:val="0"/>
        <w:spacing w:lineRule="auto" w:line="360" w:before="0" w:after="0"/>
        <w:ind w:left="1701" w:right="567" w:hanging="0"/>
        <w:jc w:val="both"/>
        <w:rPr>
          <w:lang w:val="pt-BR" w:eastAsia="en-US" w:bidi="ar-SA"/>
        </w:rPr>
      </w:pPr>
      <w:r>
        <w:rPr>
          <w:b w:val="false"/>
          <w:i/>
          <w:lang w:val="pt-BR" w:eastAsia="en-US" w:bidi="ar-SA"/>
        </w:rPr>
        <w:t>§ 4º Se o valor de arrematação for superior ao crédito do exequente, a comissão do leiloeiro público, bem como as despesas com remoção e guarda dos bens, poderá ser deduzida do produto da arrematação.</w:t>
        <w:br/>
        <w:t>(grifamos)</w:t>
      </w:r>
    </w:p>
    <w:p>
      <w:pPr>
        <w:pStyle w:val="Normal"/>
        <w:spacing w:before="113" w:after="113"/>
        <w:ind w:left="0" w:right="0" w:firstLine="1701"/>
        <w:jc w:val="both"/>
        <w:rPr>
          <w:lang w:val="pt-BR" w:eastAsia="en-US" w:bidi="ar-SA"/>
        </w:rPr>
      </w:pPr>
      <w:r>
        <w:rPr>
          <w:b w:val="false"/>
          <w:i w:val="false"/>
          <w:lang w:val="pt-BR" w:eastAsia="en-US" w:bidi="ar-SA"/>
        </w:rPr>
        <w:t xml:space="preserve">Desta forma, como a comissão devida ao Leiloeiro Oficial é adiantada pelo ARREMATANTE, pois procede com seu pagamento no ato do leilão, à vista, sob pena de não ser homologada a arrematação em questão, por falta de cumprimento dos requisitos legais, cumpre neste momento, havendo homologação da Arrematação e, após a quitação da dívida exequenda, </w:t>
      </w:r>
      <w:r>
        <w:rPr>
          <w:b/>
          <w:bCs/>
          <w:i w:val="false"/>
          <w:lang w:val="pt-BR" w:eastAsia="en-US" w:bidi="ar-SA"/>
        </w:rPr>
        <w:t>REALIZAR A APURAÇÃO DE POSSÍVEL VALOR REMANESCENTE E, EM HAVENDO, PROCEDER COM A EXPEDIÇÃO DO COMPETENTE ALVARÁ DE LEVANTAMENTO EM FAVOR DO ARREMATANTE</w:t>
      </w:r>
      <w:r>
        <w:rPr>
          <w:b w:val="false"/>
          <w:i w:val="false"/>
          <w:lang w:val="pt-BR" w:eastAsia="en-US" w:bidi="ar-SA"/>
        </w:rPr>
        <w:t>, até o esgotamento do valor adiantado pelo ARREMATANTE, ou do saldo remanescente, mesmo que em menor valor que aquele antecipado.</w:t>
      </w:r>
    </w:p>
    <w:p>
      <w:pPr>
        <w:pStyle w:val="Normal"/>
        <w:spacing w:before="113" w:after="113"/>
        <w:ind w:left="0" w:right="0" w:firstLine="1701"/>
        <w:jc w:val="both"/>
        <w:rPr>
          <w:lang w:val="pt-BR" w:eastAsia="en-US" w:bidi="ar-SA"/>
        </w:rPr>
      </w:pPr>
      <w:r>
        <w:rPr>
          <w:b w:val="false"/>
          <w:i w:val="false"/>
          <w:lang w:val="pt-BR" w:eastAsia="en-US" w:bidi="ar-SA"/>
        </w:rPr>
        <w:t>Salienta-se que, mesmo que o saldo apurado não seja suficiente para cobrir a integralidade do valor antecipado por esta ARREMATANTE ao Leiloeiro Oficial, este faz jus ao recebimento da quantia que sobejar nos autos.</w:t>
      </w:r>
    </w:p>
    <w:p>
      <w:pPr>
        <w:pStyle w:val="Normal"/>
        <w:widowControl/>
        <w:bidi w:val="0"/>
        <w:spacing w:lineRule="auto" w:line="276" w:before="0" w:after="0"/>
        <w:ind w:left="1701" w:right="567" w:hanging="0"/>
        <w:jc w:val="both"/>
        <w:rPr>
          <w:i/>
          <w:i/>
          <w:lang w:val="pt-BR" w:eastAsia="en-US" w:bidi="ar-SA"/>
        </w:rPr>
      </w:pPr>
      <w:r>
        <w:rPr>
          <w:i/>
          <w:lang w:val="pt-BR" w:eastAsia="en-US" w:bidi="ar-SA"/>
        </w:rPr>
        <w:t>Agravo de instrumento - Ação de execução em fase de cumprimento de sentença - Agravante - Postulação - Ressarcimento do que pago a título da comissão do leiloeiro - Cabimento - Forma - Dedução do produto da arrematação se houver saldo excedente após a satisfação do crédito - Aplicação do art. 7º, § 4º, da Resolução CNJ nº 236/2016 e do IRDR nº 2249027-60.2025.8.26.0000 da Corte Paulista - Decisão combatida - Reforma. Agravo de instrumento provido. (TJ-SP - Agravo de Instrumento: 21475176720268260000 Campinas, Relator: Tavares de Almeida, Data de Julgamento: 24/08/2026, 23ª Câmara de Direito Privado, Data de Publicação: 24/08/2026)</w:t>
      </w:r>
    </w:p>
    <w:p>
      <w:pPr>
        <w:pStyle w:val="Normal"/>
        <w:widowControl/>
        <w:bidi w:val="0"/>
        <w:spacing w:lineRule="auto" w:line="276" w:before="0" w:after="0"/>
        <w:ind w:left="1701" w:right="567" w:hanging="0"/>
        <w:jc w:val="both"/>
        <w:rPr>
          <w:i/>
          <w:i/>
          <w:lang w:val="pt-BR" w:eastAsia="en-US" w:bidi="ar-SA"/>
        </w:rPr>
      </w:pPr>
      <w:r>
        <w:rPr>
          <w:i/>
          <w:lang w:val="pt-BR" w:eastAsia="en-US" w:bidi="ar-SA"/>
        </w:rPr>
      </w:r>
    </w:p>
    <w:p>
      <w:pPr>
        <w:pStyle w:val="Normal"/>
        <w:widowControl/>
        <w:bidi w:val="0"/>
        <w:spacing w:before="0" w:after="0"/>
        <w:ind w:left="1701" w:right="567" w:hanging="0"/>
        <w:jc w:val="both"/>
        <w:rPr>
          <w:b w:val="false"/>
          <w:b w:val="false"/>
          <w:i/>
          <w:i/>
          <w:lang w:val="pt-BR" w:eastAsia="en-US" w:bidi="ar-SA"/>
        </w:rPr>
      </w:pPr>
      <w:r>
        <w:rPr>
          <w:b w:val="false"/>
          <w:i/>
          <w:lang w:val="pt-BR" w:eastAsia="en-US" w:bidi="ar-SA"/>
        </w:rPr>
        <w:t>Agravo de Instrumento – Execução de Título Extrajudicial – Decisão que determinou a dedução do valor da comissão do leiloeiro e do débito de IPTU do valor da arrematação – Insurgência dos agravantes – Informação prestada quanto à quitação da dívida de IPTU – Perda superveniente do interesse recursal, neste ponto – Dedução do valor da comissão do leiloeiro do produto da arrematação – Possibilidade - Valor obtido que supera o crédito executado - Art. 882, § 1º do CPC c.c. art . 7º, § 4 da Resolução CNJ 236/16 - Precedentes deste E. Tribunal – Recurso conhecido em parte e improvido na parte conhecida. (TJ-SP - AI: 21916795520238260000 São Paulo, Relator.: João Antunes, Data de Julgamento: 26/10/2023, 25ª Câmara de Direito Privado, Data de Publicação: 27/10/2023)</w:t>
      </w:r>
    </w:p>
    <w:p>
      <w:pPr>
        <w:pStyle w:val="Normal"/>
        <w:widowControl/>
        <w:bidi w:val="0"/>
        <w:spacing w:before="0" w:after="0"/>
        <w:ind w:left="1701" w:right="567" w:hanging="0"/>
        <w:jc w:val="both"/>
        <w:rPr>
          <w:b w:val="false"/>
          <w:b w:val="false"/>
          <w:i/>
          <w:i/>
          <w:lang w:val="pt-BR" w:eastAsia="en-US" w:bidi="ar-SA"/>
        </w:rPr>
      </w:pPr>
      <w:r>
        <w:rPr>
          <w:b w:val="false"/>
          <w:i/>
          <w:lang w:val="pt-BR" w:eastAsia="en-US" w:bidi="ar-SA"/>
        </w:rPr>
      </w:r>
    </w:p>
    <w:p>
      <w:pPr>
        <w:pStyle w:val="Normal"/>
        <w:widowControl/>
        <w:bidi w:val="0"/>
        <w:spacing w:before="0" w:after="0"/>
        <w:ind w:left="1701" w:right="567" w:hanging="0"/>
        <w:jc w:val="both"/>
        <w:rPr>
          <w:b w:val="false"/>
          <w:b w:val="false"/>
          <w:i/>
          <w:i/>
          <w:lang w:val="pt-BR" w:eastAsia="en-US" w:bidi="ar-SA"/>
        </w:rPr>
      </w:pPr>
      <w:r>
        <w:rPr>
          <w:b w:val="false"/>
          <w:i/>
          <w:lang w:val="pt-BR" w:eastAsia="en-US" w:bidi="ar-SA"/>
        </w:rPr>
        <w:t>Agravo de instrumento. Condomínio. Cumprimento de sentença. Penhora de imóvel . Pedido do arrematante para que a comissão do leiloeiro seja deduzida do produto da arrematação. Possibilidade. Valor obtido que supera o crédito executado. Art . 882, § 1º do CPC c.c. art. 7º, § 4 da Resolução CNJ 236/16. Precedentes deste E. Tribunal. Recurso provido.</w:t>
      </w:r>
    </w:p>
    <w:p>
      <w:pPr>
        <w:pStyle w:val="Normal"/>
        <w:widowControl/>
        <w:bidi w:val="0"/>
        <w:spacing w:before="0" w:after="0"/>
        <w:ind w:left="1701" w:right="567" w:hanging="0"/>
        <w:jc w:val="both"/>
        <w:rPr>
          <w:b w:val="false"/>
          <w:b w:val="false"/>
          <w:i/>
          <w:i/>
          <w:lang w:val="pt-BR" w:eastAsia="en-US" w:bidi="ar-SA"/>
        </w:rPr>
      </w:pPr>
      <w:r>
        <w:rPr>
          <w:b w:val="false"/>
          <w:i/>
          <w:lang w:val="pt-BR" w:eastAsia="en-US" w:bidi="ar-SA"/>
        </w:rPr>
        <w:t>(TJ-SP - Agravo de Instrumento: 2184313-62 .2023.8.26.0000 São Paulo, Relator.: Walter Exner, Data de Julgamento: 31/08/2023, 36ª Câmara de Direito Privado, Data de Publicação: 31/08/2023)</w:t>
      </w:r>
    </w:p>
    <w:p>
      <w:pPr>
        <w:pStyle w:val="Normal"/>
        <w:widowControl/>
        <w:bidi w:val="0"/>
        <w:spacing w:before="0" w:after="0"/>
        <w:ind w:left="1701" w:right="567" w:hanging="0"/>
        <w:jc w:val="both"/>
        <w:rPr>
          <w:b w:val="false"/>
          <w:b w:val="false"/>
          <w:i/>
          <w:i/>
          <w:lang w:val="pt-BR" w:eastAsia="en-US" w:bidi="ar-SA"/>
        </w:rPr>
      </w:pPr>
      <w:r>
        <w:rPr>
          <w:b w:val="false"/>
          <w:i/>
          <w:lang w:val="pt-BR" w:eastAsia="en-US" w:bidi="ar-SA"/>
        </w:rPr>
      </w:r>
    </w:p>
    <w:p>
      <w:pPr>
        <w:pStyle w:val="Normal"/>
        <w:widowControl/>
        <w:bidi w:val="0"/>
        <w:spacing w:before="0" w:after="0"/>
        <w:ind w:left="1701" w:right="567" w:hanging="0"/>
        <w:jc w:val="both"/>
        <w:rPr>
          <w:lang w:val="pt-BR" w:eastAsia="en-US" w:bidi="ar-SA"/>
        </w:rPr>
      </w:pPr>
      <w:r>
        <w:rPr>
          <w:b w:val="false"/>
          <w:i/>
          <w:lang w:val="pt-BR" w:eastAsia="en-US" w:bidi="ar-SA"/>
        </w:rPr>
        <w:t>COMISSÃO DO LEILOEIRO. VALOR DA ARREMATAÇÃO SUPERIOR AO CRÉDITO DO EXEQUENTE. EXISTÊNCIA DE PENHORA NO ROSTO DOS AUTOS. DEVOLUÇÃO DEFERIDA. Diante dos termos do artigo 7º, § 4º, da Resolução nº 236/16 do CNJ, que determina a dedução da comissão do leiloeiro do produto da arrematação, sempre que o valor desta for superior ao crédito do exequente, não é justa, nem razoável, a determinação no sentido de que o arrematante aguarde o pagamento de todas as penhoras no rosto dos autos existentes no processo para, somente após, receber a devolução do valor já pago a maior a título de comissão do leiloeiro. Deferido o levantamento pretendido pelo arrematante, relativo às despesas pagas a título de comissão de leiloeiro.</w:t>
        <w:br/>
        <w:t>(TRT-2 - AP: 00031193420135020033, Relator.: IVETE BERNARDES VIEIRA DE SOUZA, 18ª Turma - Cadeira 2)</w:t>
      </w:r>
    </w:p>
    <w:p>
      <w:pPr>
        <w:pStyle w:val="Normal"/>
        <w:widowControl/>
        <w:bidi w:val="0"/>
        <w:spacing w:before="0" w:after="0"/>
        <w:ind w:left="1701" w:right="567" w:hanging="0"/>
        <w:jc w:val="both"/>
        <w:rPr>
          <w:lang w:val="pt-BR" w:eastAsia="en-US" w:bidi="ar-SA"/>
        </w:rPr>
      </w:pPr>
      <w:r>
        <w:rPr>
          <w:b w:val="false"/>
          <w:i/>
          <w:lang w:val="pt-BR" w:eastAsia="en-US" w:bidi="ar-SA"/>
        </w:rPr>
        <w:t>(grifamos)</w:t>
      </w:r>
    </w:p>
    <w:p>
      <w:pPr>
        <w:pStyle w:val="Normal"/>
        <w:ind w:left="0" w:hanging="0"/>
        <w:jc w:val="left"/>
        <w:rPr>
          <w:b/>
          <w:b/>
          <w:i w:val="false"/>
          <w:i w:val="false"/>
          <w:lang w:val="pt-BR" w:eastAsia="en-US" w:bidi="ar-SA"/>
        </w:rPr>
      </w:pPr>
      <w:r>
        <w:rPr>
          <w:b/>
          <w:i w:val="false"/>
          <w:lang w:val="pt-BR" w:eastAsia="en-US" w:bidi="ar-SA"/>
        </w:rPr>
      </w:r>
    </w:p>
    <w:p>
      <w:pPr>
        <w:pStyle w:val="Normal"/>
        <w:ind w:left="0" w:hanging="0"/>
        <w:jc w:val="left"/>
        <w:rPr>
          <w:b/>
          <w:b/>
          <w:i w:val="false"/>
          <w:i w:val="false"/>
          <w:lang w:val="pt-BR" w:eastAsia="en-US" w:bidi="ar-SA"/>
        </w:rPr>
      </w:pPr>
      <w:r>
        <w:rPr>
          <w:b/>
          <w:i w:val="false"/>
          <w:lang w:val="pt-BR" w:eastAsia="en-US" w:bidi="ar-SA"/>
        </w:rPr>
        <w:t>2 – PEDIDO:</w:t>
      </w:r>
    </w:p>
    <w:p>
      <w:pPr>
        <w:pStyle w:val="Normal"/>
        <w:widowControl/>
        <w:bidi w:val="0"/>
        <w:spacing w:lineRule="auto" w:line="360" w:before="0" w:after="0"/>
        <w:ind w:left="0" w:right="0" w:firstLine="1701"/>
        <w:jc w:val="both"/>
        <w:rPr>
          <w:lang w:val="pt-BR" w:eastAsia="en-US" w:bidi="ar-SA"/>
        </w:rPr>
      </w:pPr>
      <w:r>
        <w:rPr>
          <w:b w:val="false"/>
          <w:i w:val="false"/>
          <w:lang w:val="pt-BR" w:eastAsia="en-US" w:bidi="ar-SA"/>
        </w:rPr>
        <w:t>Por todo o acima exposto, faz a presente para REQUERER a Vossa Excelência:</w:t>
      </w:r>
    </w:p>
    <w:p>
      <w:pPr>
        <w:pStyle w:val="Normal"/>
        <w:widowControl/>
        <w:bidi w:val="0"/>
        <w:spacing w:lineRule="auto" w:line="360" w:before="0" w:after="0"/>
        <w:ind w:left="1701" w:right="0" w:hanging="0"/>
        <w:jc w:val="both"/>
        <w:rPr>
          <w:b w:val="false"/>
          <w:b w:val="false"/>
          <w:lang w:val="pt-BR" w:eastAsia="en-US" w:bidi="ar-SA"/>
        </w:rPr>
      </w:pPr>
      <w:r>
        <w:rPr>
          <w:b w:val="false"/>
          <w:lang w:val="pt-BR" w:eastAsia="en-US" w:bidi="ar-SA"/>
        </w:rPr>
      </w:r>
    </w:p>
    <w:p>
      <w:pPr>
        <w:pStyle w:val="Normal"/>
        <w:widowControl/>
        <w:bidi w:val="0"/>
        <w:spacing w:lineRule="auto" w:line="360" w:before="0" w:after="0"/>
        <w:ind w:left="1701" w:right="0" w:hanging="0"/>
        <w:jc w:val="both"/>
        <w:rPr>
          <w:lang w:val="pt-BR" w:eastAsia="en-US" w:bidi="ar-SA"/>
        </w:rPr>
      </w:pPr>
      <w:r>
        <w:rPr>
          <w:b w:val="false"/>
          <w:i/>
          <w:iCs/>
          <w:lang w:val="pt-BR" w:eastAsia="en-US" w:bidi="ar-SA"/>
        </w:rPr>
        <w:t>a) Seja determinado que, uma vez apurado saldo remanescente da arrematação ofertada por este ARREMATANTE, seja o valor apurado destinado à quitação da comissão do Leiloeiro Oficial, antecipada no ato do leilão, sendo os valores objeto de reembolso deste ARREMATANTE, a ser depositado em sua conta pessoal, abaixo especificada:</w:t>
      </w:r>
    </w:p>
    <w:p>
      <w:pPr>
        <w:pStyle w:val="Normal"/>
        <w:ind w:left="1134" w:hanging="0"/>
        <w:jc w:val="left"/>
        <w:rPr>
          <w:b w:val="false"/>
          <w:b w:val="false"/>
          <w:i w:val="false"/>
          <w:i w:val="false"/>
          <w:lang w:val="pt-BR" w:eastAsia="en-US" w:bidi="ar-SA"/>
        </w:rPr>
      </w:pPr>
      <w:r>
        <w:rPr>
          <w:b w:val="false"/>
          <w:i w:val="false"/>
          <w:lang w:val="pt-BR" w:eastAsia="en-US" w:bidi="ar-SA"/>
        </w:rPr>
      </w:r>
    </w:p>
    <w:p>
      <w:pPr>
        <w:pStyle w:val="Normal"/>
        <w:widowControl/>
        <w:bidi w:val="0"/>
        <w:spacing w:lineRule="auto" w:line="360" w:before="0" w:after="0"/>
        <w:ind w:left="1701" w:right="0" w:hanging="0"/>
        <w:jc w:val="left"/>
        <w:rPr>
          <w:lang w:val="pt-BR" w:eastAsia="en-US" w:bidi="ar-SA"/>
        </w:rPr>
      </w:pPr>
      <w:r>
        <w:rPr>
          <w:b w:val="false"/>
          <w:i w:val="false"/>
          <w:lang w:val="pt-BR" w:eastAsia="en-US" w:bidi="ar-SA"/>
        </w:rPr>
        <w:t>Favorecido: [NOME DO FAVORECIDO]</w:t>
        <w:br/>
        <w:t>CPF/CNPJ/PIX: [DADO]</w:t>
        <w:br/>
        <w:t>Banco: [BANCO]</w:t>
        <w:br/>
        <w:t>Agência: [AGÊNCIA]</w:t>
        <w:br/>
        <w:t>Conta-Corrente: [CONTA]</w:t>
      </w:r>
    </w:p>
    <w:p>
      <w:pPr>
        <w:pStyle w:val="Normal"/>
        <w:widowControl/>
        <w:bidi w:val="0"/>
        <w:spacing w:lineRule="auto" w:line="360" w:before="0" w:after="0"/>
        <w:ind w:left="0" w:right="0" w:firstLine="1701"/>
        <w:jc w:val="left"/>
        <w:rPr>
          <w:b w:val="false"/>
          <w:b w:val="false"/>
          <w:i w:val="false"/>
          <w:i w:val="false"/>
          <w:lang w:val="pt-BR" w:eastAsia="en-US" w:bidi="ar-SA"/>
        </w:rPr>
      </w:pPr>
      <w:r>
        <w:rPr>
          <w:b w:val="false"/>
          <w:i w:val="false"/>
          <w:lang w:val="pt-BR" w:eastAsia="en-US" w:bidi="ar-SA"/>
        </w:rPr>
      </w:r>
    </w:p>
    <w:p>
      <w:pPr>
        <w:pStyle w:val="Normal"/>
        <w:widowControl/>
        <w:bidi w:val="0"/>
        <w:spacing w:lineRule="auto" w:line="360" w:before="0" w:after="0"/>
        <w:ind w:left="0" w:right="0" w:firstLine="1701"/>
        <w:jc w:val="left"/>
        <w:rPr>
          <w:lang w:val="pt-BR" w:eastAsia="en-US" w:bidi="ar-SA"/>
        </w:rPr>
      </w:pPr>
      <w:r>
        <w:rPr>
          <w:b w:val="false"/>
          <w:i w:val="false"/>
          <w:lang w:val="pt-BR" w:eastAsia="en-US" w:bidi="ar-SA"/>
        </w:rPr>
        <w:t>Termos em que,</w:t>
      </w:r>
    </w:p>
    <w:p>
      <w:pPr>
        <w:pStyle w:val="Normal"/>
        <w:widowControl/>
        <w:bidi w:val="0"/>
        <w:spacing w:lineRule="auto" w:line="360" w:before="0" w:after="0"/>
        <w:ind w:left="0" w:right="0" w:firstLine="1701"/>
        <w:jc w:val="left"/>
        <w:rPr>
          <w:lang w:val="pt-BR" w:eastAsia="en-US" w:bidi="ar-SA"/>
        </w:rPr>
      </w:pPr>
      <w:r>
        <w:rPr>
          <w:b w:val="false"/>
          <w:i w:val="false"/>
          <w:lang w:val="pt-BR" w:eastAsia="en-US" w:bidi="ar-SA"/>
        </w:rPr>
        <w:t>Pede e espera por deferimento.</w:t>
      </w:r>
    </w:p>
    <w:p>
      <w:pPr>
        <w:pStyle w:val="Normal"/>
        <w:widowControl/>
        <w:bidi w:val="0"/>
        <w:spacing w:lineRule="auto" w:line="360" w:before="0" w:after="0"/>
        <w:ind w:left="0" w:right="0" w:firstLine="1701"/>
        <w:jc w:val="left"/>
        <w:rPr>
          <w:lang w:val="pt-BR" w:eastAsia="en-US" w:bidi="ar-SA"/>
        </w:rPr>
      </w:pPr>
      <w:r>
        <w:rPr>
          <w:b w:val="false"/>
          <w:i w:val="false"/>
          <w:lang w:val="pt-BR" w:eastAsia="en-US" w:bidi="ar-SA"/>
        </w:rPr>
        <w:t>[LOCAL], [DATA].</w:t>
      </w:r>
    </w:p>
    <w:p>
      <w:pPr>
        <w:pStyle w:val="Normal"/>
        <w:jc w:val="center"/>
        <w:rPr>
          <w:b/>
          <w:b/>
          <w:lang w:val="pt-BR" w:eastAsia="en-US" w:bidi="ar-SA"/>
        </w:rPr>
      </w:pPr>
      <w:r>
        <w:rPr>
          <w:b/>
          <w:lang w:val="pt-BR" w:eastAsia="en-US" w:bidi="ar-SA"/>
        </w:rPr>
      </w:r>
    </w:p>
    <w:p>
      <w:pPr>
        <w:pStyle w:val="Normal"/>
        <w:jc w:val="center"/>
        <w:rPr>
          <w:b/>
          <w:b/>
          <w:lang w:val="pt-BR" w:eastAsia="en-US" w:bidi="ar-SA"/>
        </w:rPr>
      </w:pPr>
      <w:r>
        <w:rPr>
          <w:b/>
          <w:lang w:val="pt-BR" w:eastAsia="en-US" w:bidi="ar-SA"/>
        </w:rPr>
        <w:t>[ASSINATURA]</w:t>
        <w:br/>
        <w:t>[NOME DO ARREMATANTE OU ADVOGADO]</w:t>
        <w:br/>
        <w:t>Arrematante ou Advogado(a) – OAB/[UF] [NÚMERO]</w:t>
      </w:r>
    </w:p>
    <w:sectPr>
      <w:type w:val="nextPage"/>
      <w:pgSz w:w="12240" w:h="15840"/>
      <w:pgMar w:left="1701" w:right="1134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360"/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360" w:before="0" w:after="0"/>
      <w:jc w:val="left"/>
    </w:pPr>
    <w:rPr>
      <w:rFonts w:ascii="Times New Roman" w:hAnsi="Times New Roman" w:eastAsia="" w:cs="" w:cstheme="minorBidi" w:eastAsiaTheme="minorEastAsia"/>
      <w:color w:val="auto"/>
      <w:kern w:val="0"/>
      <w:sz w:val="24"/>
      <w:szCs w:val="22"/>
      <w:lang w:val="en-US" w:eastAsia="en-US" w:bidi="ar-SA"/>
    </w:rPr>
  </w:style>
  <w:style w:type="paragraph" w:styleId="Ttulo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Ttulo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val="243F60" w:themeColor="accent1" w:themeShade="7f"/>
    </w:rPr>
  </w:style>
  <w:style w:type="paragraph" w:styleId="Ttulo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Nfase">
    <w:name w:val="Ênfase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a">
    <w:name w:val="List"/>
    <w:basedOn w:val="Normal"/>
    <w:uiPriority w:val="99"/>
    <w:unhideWhenUsed/>
    <w:rsid w:val="00aa1d8d"/>
    <w:pPr>
      <w:spacing w:before="0" w:after="0"/>
      <w:ind w:left="360" w:hanging="360"/>
      <w:contextualSpacing/>
    </w:pPr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Rodap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tulododocumento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ubttulo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Indexheading">
    <w:name w:val="index heading"/>
    <w:basedOn w:val="Ttulo"/>
    <w:qFormat/>
    <w:pPr/>
    <w:rPr/>
  </w:style>
  <w:style w:type="paragraph" w:styleId="TOCHeading">
    <w:name w:val="TOC Heading"/>
    <w:basedOn w:val="Ttulo1"/>
    <w:next w:val="Normal"/>
    <w:uiPriority w:val="39"/>
    <w:semiHidden/>
    <w:unhideWhenUsed/>
    <w:qFormat/>
    <w:rsid w:val="00fc693f"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LibreOffice/7.0.6.2$Windows_X86_64 LibreOffice_project/144abb84a525d8e30c9dbbefa69cbbf2d8d4ae3b</Application>
  <AppVersion>15.0000</AppVersion>
  <Pages>4</Pages>
  <Words>1029</Words>
  <Characters>5657</Characters>
  <CharactersWithSpaces>6668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pt-BR</dc:language>
  <cp:lastModifiedBy/>
  <dcterms:modified xsi:type="dcterms:W3CDTF">2026-08-27T18:07:53Z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