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71D7" w14:textId="77777777" w:rsidR="00861A5C" w:rsidRDefault="00D013D6" w:rsidP="001C7DD3">
      <w:pPr>
        <w:pStyle w:val="Ttulo1"/>
        <w:spacing w:before="0"/>
      </w:pPr>
      <w:r>
        <w:t>Relatório de Leitura Crítica Técnica – Farmacologia</w:t>
      </w:r>
    </w:p>
    <w:p w14:paraId="03312DA2" w14:textId="77777777" w:rsidR="00861A5C" w:rsidRDefault="00D013D6" w:rsidP="001C7DD3">
      <w:pPr>
        <w:pStyle w:val="Ttulo1"/>
        <w:spacing w:before="0"/>
      </w:pPr>
      <w:r>
        <w:t>Technical Beta Reading Report – Pharmacology</w:t>
      </w:r>
    </w:p>
    <w:p w14:paraId="10B06251" w14:textId="77777777" w:rsidR="00861A5C" w:rsidRDefault="00861A5C" w:rsidP="001C7DD3"/>
    <w:p w14:paraId="59B87553" w14:textId="77777777" w:rsidR="00861A5C" w:rsidRDefault="00D013D6" w:rsidP="001C7DD3">
      <w:pPr>
        <w:pStyle w:val="Ttulo2"/>
        <w:spacing w:before="0"/>
      </w:pPr>
      <w:r>
        <w:t>1. Dados Técnicos / Document Details</w:t>
      </w:r>
    </w:p>
    <w:p w14:paraId="1479CEF7" w14:textId="77777777" w:rsidR="00861A5C" w:rsidRDefault="00D013D6" w:rsidP="001C7DD3">
      <w:r>
        <w:t>Título / Title: Fundamentos de Farmacologia Clínica</w:t>
      </w:r>
    </w:p>
    <w:p w14:paraId="20059D18" w14:textId="77777777" w:rsidR="00861A5C" w:rsidRDefault="00D013D6" w:rsidP="001C7DD3">
      <w:r>
        <w:t xml:space="preserve">Tipo de Texto / Document Type: Apostila técnica de ensino </w:t>
      </w:r>
      <w:r>
        <w:t>superior</w:t>
      </w:r>
    </w:p>
    <w:p w14:paraId="12686083" w14:textId="77777777" w:rsidR="00861A5C" w:rsidRDefault="00D013D6" w:rsidP="001C7DD3">
      <w:r>
        <w:t>Idioma Original / Original Language: Português</w:t>
      </w:r>
    </w:p>
    <w:p w14:paraId="494B3D4F" w14:textId="77777777" w:rsidR="00861A5C" w:rsidRDefault="00D013D6" w:rsidP="001C7DD3">
      <w:r>
        <w:t>Extensão / Length: 42 páginas (aproximadamente 14.000 palavras)</w:t>
      </w:r>
    </w:p>
    <w:p w14:paraId="667BD09F" w14:textId="77777777" w:rsidR="00861A5C" w:rsidRDefault="00861A5C" w:rsidP="001C7DD3"/>
    <w:p w14:paraId="36FF4432" w14:textId="77777777" w:rsidR="00861A5C" w:rsidRDefault="00D013D6" w:rsidP="001C7DD3">
      <w:pPr>
        <w:pStyle w:val="Ttulo2"/>
        <w:spacing w:before="0"/>
      </w:pPr>
      <w:r>
        <w:t>2. Resumo Executivo / Executive Summary</w:t>
      </w:r>
    </w:p>
    <w:p w14:paraId="79E8033C" w14:textId="77777777" w:rsidR="00861A5C" w:rsidRDefault="00D013D6" w:rsidP="001C7DD3">
      <w:r>
        <w:t>PT:</w:t>
      </w:r>
      <w:r>
        <w:br/>
        <w:t>O material apresenta estrutura lógica adequada ao ensino superior, abordando tópicos fundamentais como farmacocinética, farmacodinâmica, classes terapêuticas, interações medicamentosas e reações adversas. A linguagem é técnica, porém acessível, e demonstra conformidade com a legislação sanitária brasileira vigente (Anvisa, RDC nº 47/2009; Lei nº 9.787/1999). Os principais pontos de atenção incluem o uso inconsistente de termos clínicos e a ausência de glossário.</w:t>
      </w:r>
    </w:p>
    <w:p w14:paraId="54D1032A" w14:textId="77777777" w:rsidR="00861A5C" w:rsidRDefault="00D013D6" w:rsidP="001C7DD3">
      <w:r>
        <w:t>EN:</w:t>
      </w:r>
      <w:r>
        <w:br/>
        <w:t>The material is logically structured for higher education, covering key topics such as pharmacokinetics, pharmacodynamics, therapeutic classes, drug interactions, and adverse effects. The language is technical yet accessible, and it aligns with current Brazilian health regulations (Anvisa, RDC No. 47/2009; Law No. 9,787/1999). Notable issues include inconsistent clinical terminology and the lack of a glossary.</w:t>
      </w:r>
    </w:p>
    <w:p w14:paraId="71735186" w14:textId="77777777" w:rsidR="00861A5C" w:rsidRDefault="00861A5C" w:rsidP="001C7DD3"/>
    <w:p w14:paraId="700B77C4" w14:textId="77777777" w:rsidR="00861A5C" w:rsidRDefault="00D013D6" w:rsidP="001C7DD3">
      <w:pPr>
        <w:pStyle w:val="Ttulo2"/>
        <w:spacing w:before="0"/>
      </w:pPr>
      <w:r>
        <w:t>3. Análise Técnica Detalhada / Detailed Technical Analysis</w:t>
      </w:r>
    </w:p>
    <w:p w14:paraId="02FE7E3D" w14:textId="77777777" w:rsidR="00861A5C" w:rsidRDefault="00D013D6" w:rsidP="001C7DD3">
      <w:pPr>
        <w:pStyle w:val="Ttulo3"/>
        <w:spacing w:before="0"/>
      </w:pPr>
      <w:r>
        <w:t>3.1 Terminologia e Padronização / Terminology and Standardization</w:t>
      </w:r>
    </w:p>
    <w:p w14:paraId="783D8A27" w14:textId="77777777" w:rsidR="00861A5C" w:rsidRDefault="00D013D6" w:rsidP="001C7DD3">
      <w:r>
        <w:t>PT:</w:t>
      </w:r>
      <w:r>
        <w:br/>
        <w:t>Recomenda-se a padronização dos termos técnicos conforme o Vocabulário Ortográfico da Língua Portuguesa (VOLP, 2023–2025), além das referências da OMS e FDA. Exemplo: “meia-vida plasmática” também aparece como “tempo de meia-vida”, sem uniformidade contextual.</w:t>
      </w:r>
    </w:p>
    <w:p w14:paraId="6BE9E983" w14:textId="77777777" w:rsidR="00861A5C" w:rsidRDefault="00D013D6" w:rsidP="001C7DD3">
      <w:r>
        <w:t>EN:</w:t>
      </w:r>
      <w:r>
        <w:br/>
        <w:t>Standardization of technical terms is advised, following the VOLP (2023–2025), WHO, and FDA guidelines. For instance, “plasma half-life” also appears as “half-life time” without contextual consistency.</w:t>
      </w:r>
    </w:p>
    <w:p w14:paraId="07B03437" w14:textId="77777777" w:rsidR="00861A5C" w:rsidRDefault="00D013D6" w:rsidP="001C7DD3">
      <w:pPr>
        <w:pStyle w:val="Ttulo3"/>
        <w:spacing w:before="0"/>
      </w:pPr>
      <w:r>
        <w:lastRenderedPageBreak/>
        <w:t>3.2 Estrutura e Conteúdo / Structure and Content</w:t>
      </w:r>
    </w:p>
    <w:p w14:paraId="0DCFCB92" w14:textId="77777777" w:rsidR="00861A5C" w:rsidRDefault="00D013D6" w:rsidP="001C7DD3">
      <w:r>
        <w:t>PT:</w:t>
      </w:r>
      <w:r>
        <w:br/>
        <w:t>A estrutura do conteúdo segue progressão lógica (introdução, farmacocinética, farmacodinâmica, grupos farmacológicos). Contudo, há seções com sobreposição conceitual e ausência de citações bibliográficas diretas (ex.: Goodman &amp; Gilman, Rang &amp; Dale).</w:t>
      </w:r>
    </w:p>
    <w:p w14:paraId="77C14C3E" w14:textId="77777777" w:rsidR="00861A5C" w:rsidRDefault="00D013D6" w:rsidP="001C7DD3">
      <w:r>
        <w:t>EN:</w:t>
      </w:r>
      <w:r>
        <w:br/>
        <w:t>The structure follows a logical progression (introduction, pharmacokinetics, pharmacodynamics, drug classes). However, certain sections conceptually overlap and lack direct bibliographic references (e.g., Goodman &amp; Gilman, Rang &amp; Dale).</w:t>
      </w:r>
    </w:p>
    <w:p w14:paraId="4D96ED2B" w14:textId="77777777" w:rsidR="00861A5C" w:rsidRDefault="00D013D6" w:rsidP="001C7DD3">
      <w:pPr>
        <w:pStyle w:val="Ttulo3"/>
        <w:spacing w:before="0"/>
      </w:pPr>
      <w:r>
        <w:t>3.3 Gramática e Estilo / Grammar and Style</w:t>
      </w:r>
    </w:p>
    <w:p w14:paraId="32157432" w14:textId="77777777" w:rsidR="00861A5C" w:rsidRDefault="00D013D6" w:rsidP="001C7DD3">
      <w:r>
        <w:t>PT:</w:t>
      </w:r>
      <w:r>
        <w:br/>
        <w:t>Apesar da linguagem técnica apropriada, há uso excessivo de voz passiva e períodos longos. Recomenda-se revisão focada na clareza e segmentação sintática.</w:t>
      </w:r>
    </w:p>
    <w:p w14:paraId="7C177961" w14:textId="77777777" w:rsidR="00861A5C" w:rsidRDefault="00D013D6" w:rsidP="001C7DD3">
      <w:r>
        <w:t>EN:</w:t>
      </w:r>
      <w:r>
        <w:br/>
        <w:t>Although technically accurate, the text overuses passive voice and includes lengthy sentences. A stylistic revision is suggested to enhance clarity and sentence segmentation.</w:t>
      </w:r>
    </w:p>
    <w:p w14:paraId="2B986890" w14:textId="77777777" w:rsidR="00861A5C" w:rsidRDefault="00D013D6" w:rsidP="001C7DD3">
      <w:pPr>
        <w:pStyle w:val="Ttulo3"/>
        <w:spacing w:before="0"/>
      </w:pPr>
      <w:r>
        <w:t>3.4 Acurácia Científica / Scientific Accuracy</w:t>
      </w:r>
    </w:p>
    <w:p w14:paraId="10F02C90" w14:textId="77777777" w:rsidR="00861A5C" w:rsidRDefault="00D013D6" w:rsidP="001C7DD3">
      <w:r>
        <w:t>PT:</w:t>
      </w:r>
      <w:r>
        <w:br/>
        <w:t>As informações são, em geral, corretas e atualizadas, com referências válidas a processos como absorção, metabolismo hepático (CYP450) e excreção renal. Recomenda-se incluir quadro comparativo de vias de administração e biodisponibilidade relativa.</w:t>
      </w:r>
    </w:p>
    <w:p w14:paraId="68EA5864" w14:textId="77777777" w:rsidR="00861A5C" w:rsidRDefault="00D013D6" w:rsidP="001C7DD3">
      <w:r>
        <w:t>EN:</w:t>
      </w:r>
      <w:r>
        <w:br/>
        <w:t>The content is largely accurate and up-to-date, citing valid references for absorption, hepatic metabolism (CYP450), and renal excretion. Including a comparative chart of administration routes and relative bioavailability is recommended.</w:t>
      </w:r>
    </w:p>
    <w:p w14:paraId="014DEA7F" w14:textId="77777777" w:rsidR="00861A5C" w:rsidRDefault="00861A5C" w:rsidP="001C7DD3"/>
    <w:p w14:paraId="2529A869" w14:textId="77777777" w:rsidR="00861A5C" w:rsidRDefault="00D013D6" w:rsidP="001C7DD3">
      <w:pPr>
        <w:pStyle w:val="Ttulo2"/>
        <w:spacing w:before="0"/>
      </w:pPr>
      <w:r>
        <w:t>4. Recomendações Finais / Final Recommendations</w:t>
      </w:r>
    </w:p>
    <w:p w14:paraId="4A2E864F" w14:textId="77777777" w:rsidR="00861A5C" w:rsidRDefault="00D013D6" w:rsidP="001C7DD3">
      <w:r>
        <w:t>PT:</w:t>
      </w:r>
      <w:r>
        <w:br/>
        <w:t>Inserir glossário técnico ao final do material.</w:t>
      </w:r>
      <w:r>
        <w:br/>
        <w:t>Corrigir duplicidades de termos e revisar enumerações técnicas.</w:t>
      </w:r>
      <w:r>
        <w:br/>
        <w:t>Atualizar referências regulatórias e incluir links diretos para as diretrizes da Anvisa, FDA e EMEA.</w:t>
      </w:r>
    </w:p>
    <w:p w14:paraId="75E35296" w14:textId="77777777" w:rsidR="00861A5C" w:rsidRDefault="00D013D6" w:rsidP="001C7DD3">
      <w:r>
        <w:t>EN:</w:t>
      </w:r>
      <w:r>
        <w:br/>
        <w:t>Add a technical glossary at the end of the document.</w:t>
      </w:r>
      <w:r>
        <w:br/>
        <w:t>Correct term duplications and revise technical listings.</w:t>
      </w:r>
      <w:r>
        <w:br/>
        <w:t xml:space="preserve">Update regulatory references and include direct links to Anvisa, FDA, and EMEA </w:t>
      </w:r>
      <w:r>
        <w:t>guidelines.</w:t>
      </w:r>
    </w:p>
    <w:sectPr w:rsidR="00861A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274599609">
    <w:abstractNumId w:val="8"/>
  </w:num>
  <w:num w:numId="2" w16cid:durableId="325790518">
    <w:abstractNumId w:val="6"/>
  </w:num>
  <w:num w:numId="3" w16cid:durableId="946423382">
    <w:abstractNumId w:val="5"/>
  </w:num>
  <w:num w:numId="4" w16cid:durableId="1276133808">
    <w:abstractNumId w:val="4"/>
  </w:num>
  <w:num w:numId="5" w16cid:durableId="348917049">
    <w:abstractNumId w:val="7"/>
  </w:num>
  <w:num w:numId="6" w16cid:durableId="1988902002">
    <w:abstractNumId w:val="3"/>
  </w:num>
  <w:num w:numId="7" w16cid:durableId="24138958">
    <w:abstractNumId w:val="2"/>
  </w:num>
  <w:num w:numId="8" w16cid:durableId="697897921">
    <w:abstractNumId w:val="1"/>
  </w:num>
  <w:num w:numId="9" w16cid:durableId="37823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7DD3"/>
    <w:rsid w:val="0029639D"/>
    <w:rsid w:val="00326F90"/>
    <w:rsid w:val="0038693C"/>
    <w:rsid w:val="00861A5C"/>
    <w:rsid w:val="00872745"/>
    <w:rsid w:val="00A231D8"/>
    <w:rsid w:val="00AA1D8D"/>
    <w:rsid w:val="00B13490"/>
    <w:rsid w:val="00B47730"/>
    <w:rsid w:val="00C95C90"/>
    <w:rsid w:val="00CB0664"/>
    <w:rsid w:val="00D013D6"/>
    <w:rsid w:val="00D203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200C6"/>
  <w14:defaultImageDpi w14:val="300"/>
  <w15:docId w15:val="{BCCAE263-61A0-7D4F-8D68-56E958EE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Thiago Thiago</cp:lastModifiedBy>
  <cp:revision>5</cp:revision>
  <dcterms:created xsi:type="dcterms:W3CDTF">2013-12-23T23:15:00Z</dcterms:created>
  <dcterms:modified xsi:type="dcterms:W3CDTF">2025-06-03T07:05:00Z</dcterms:modified>
  <cp:category/>
</cp:coreProperties>
</file>