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1EA" w:rsidRDefault="004631EA" w:rsidP="00746DCF">
      <w:pPr>
        <w:spacing w:after="0" w:line="360" w:lineRule="auto"/>
        <w:jc w:val="center"/>
        <w:rPr>
          <w:b/>
          <w:sz w:val="24"/>
          <w:szCs w:val="24"/>
        </w:rPr>
      </w:pPr>
    </w:p>
    <w:p w:rsidR="00B365A3" w:rsidRPr="00E501C1" w:rsidRDefault="008138B2" w:rsidP="004631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9B263F" w:rsidRPr="00E501C1" w:rsidRDefault="009B263F" w:rsidP="00746DCF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746DC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746DCF">
      <w:pPr>
        <w:spacing w:after="0" w:line="360" w:lineRule="auto"/>
        <w:jc w:val="both"/>
        <w:rPr>
          <w:b/>
          <w:sz w:val="24"/>
          <w:szCs w:val="24"/>
        </w:rPr>
      </w:pPr>
    </w:p>
    <w:p w:rsidR="001055FC" w:rsidRDefault="00DB56F0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13730B">
        <w:rPr>
          <w:sz w:val="24"/>
          <w:szCs w:val="24"/>
        </w:rPr>
        <w:t>s</w:t>
      </w:r>
      <w:r>
        <w:rPr>
          <w:sz w:val="24"/>
          <w:szCs w:val="24"/>
        </w:rPr>
        <w:t xml:space="preserve"> Vereador</w:t>
      </w:r>
      <w:r w:rsidR="0013730B">
        <w:rPr>
          <w:sz w:val="24"/>
          <w:szCs w:val="24"/>
        </w:rPr>
        <w:t>es</w:t>
      </w:r>
      <w:r>
        <w:rPr>
          <w:sz w:val="24"/>
          <w:szCs w:val="24"/>
        </w:rPr>
        <w:t xml:space="preserve"> </w:t>
      </w:r>
      <w:r w:rsidR="00711F59">
        <w:rPr>
          <w:sz w:val="24"/>
          <w:szCs w:val="24"/>
        </w:rPr>
        <w:t>Dr. João Collares (PDT)</w:t>
      </w:r>
      <w:r w:rsidR="0013730B">
        <w:rPr>
          <w:sz w:val="24"/>
          <w:szCs w:val="24"/>
        </w:rPr>
        <w:t xml:space="preserve"> e Claudinha Jardim (DEM)</w:t>
      </w:r>
      <w:r w:rsidR="00E20582">
        <w:rPr>
          <w:sz w:val="24"/>
          <w:szCs w:val="24"/>
        </w:rPr>
        <w:t xml:space="preserve"> aprese</w:t>
      </w:r>
      <w:r w:rsidR="00E20582">
        <w:rPr>
          <w:sz w:val="24"/>
          <w:szCs w:val="24"/>
        </w:rPr>
        <w:t>n</w:t>
      </w:r>
      <w:r w:rsidR="0013730B">
        <w:rPr>
          <w:sz w:val="24"/>
          <w:szCs w:val="24"/>
        </w:rPr>
        <w:t>taram</w:t>
      </w:r>
      <w:r w:rsidR="00E20582">
        <w:rPr>
          <w:sz w:val="24"/>
          <w:szCs w:val="24"/>
        </w:rPr>
        <w:t xml:space="preserve"> </w:t>
      </w:r>
      <w:r w:rsidR="00E20582" w:rsidRPr="00E501C1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0</w:t>
      </w:r>
      <w:r w:rsidR="001D2FE2">
        <w:rPr>
          <w:sz w:val="24"/>
          <w:szCs w:val="24"/>
        </w:rPr>
        <w:t>36</w:t>
      </w:r>
      <w:r>
        <w:rPr>
          <w:sz w:val="24"/>
          <w:szCs w:val="24"/>
        </w:rPr>
        <w:t xml:space="preserve">/19 </w:t>
      </w:r>
      <w:r w:rsidR="00E20582" w:rsidRPr="00E501C1">
        <w:rPr>
          <w:sz w:val="24"/>
          <w:szCs w:val="24"/>
        </w:rPr>
        <w:t xml:space="preserve">à Câmara Municipal, </w:t>
      </w:r>
      <w:r w:rsidR="00E20582">
        <w:rPr>
          <w:sz w:val="24"/>
          <w:szCs w:val="24"/>
        </w:rPr>
        <w:t>objetivando dispor sobre a.</w:t>
      </w:r>
      <w:r>
        <w:rPr>
          <w:sz w:val="24"/>
          <w:szCs w:val="24"/>
        </w:rPr>
        <w:t xml:space="preserve"> A proposta foi encaminhada à Procuradoria pela Presidência para análise nos termos do artigo 105 do Regimento Interno. Apresen</w:t>
      </w:r>
      <w:r w:rsidR="00982F6F">
        <w:rPr>
          <w:sz w:val="24"/>
          <w:szCs w:val="24"/>
        </w:rPr>
        <w:t xml:space="preserve">tado o </w:t>
      </w:r>
      <w:r w:rsidR="004631EA">
        <w:rPr>
          <w:sz w:val="24"/>
          <w:szCs w:val="24"/>
        </w:rPr>
        <w:t>3</w:t>
      </w:r>
      <w:r w:rsidR="00182231">
        <w:rPr>
          <w:sz w:val="24"/>
          <w:szCs w:val="24"/>
        </w:rPr>
        <w:t xml:space="preserve">º </w:t>
      </w:r>
      <w:r w:rsidR="00982F6F">
        <w:rPr>
          <w:sz w:val="24"/>
          <w:szCs w:val="24"/>
        </w:rPr>
        <w:t>S</w:t>
      </w:r>
      <w:r>
        <w:rPr>
          <w:sz w:val="24"/>
          <w:szCs w:val="24"/>
        </w:rPr>
        <w:t xml:space="preserve">ubstitutivo à fl. </w:t>
      </w:r>
      <w:r w:rsidR="004631EA">
        <w:rPr>
          <w:sz w:val="24"/>
          <w:szCs w:val="24"/>
        </w:rPr>
        <w:t>2</w:t>
      </w:r>
      <w:r w:rsidR="00727399">
        <w:rPr>
          <w:sz w:val="24"/>
          <w:szCs w:val="24"/>
        </w:rPr>
        <w:t>4</w:t>
      </w:r>
      <w:r>
        <w:rPr>
          <w:sz w:val="24"/>
          <w:szCs w:val="24"/>
        </w:rPr>
        <w:t>, retornou a proposição a esta Procuradoria, para nova análise jurídica</w:t>
      </w:r>
      <w:r w:rsidR="00A33003">
        <w:rPr>
          <w:sz w:val="24"/>
          <w:szCs w:val="24"/>
        </w:rPr>
        <w:t>, agora pretendendo alterar o Código Municipal de Posturas – Lei Municipal nº 1.027/1990</w:t>
      </w:r>
      <w:r>
        <w:rPr>
          <w:sz w:val="24"/>
          <w:szCs w:val="24"/>
        </w:rPr>
        <w:t>.</w:t>
      </w:r>
    </w:p>
    <w:p w:rsidR="00371666" w:rsidRPr="00E501C1" w:rsidRDefault="00371666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055FC" w:rsidP="00746DC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746DCF">
      <w:pPr>
        <w:spacing w:after="0" w:line="360" w:lineRule="auto"/>
        <w:jc w:val="both"/>
        <w:rPr>
          <w:b/>
          <w:sz w:val="24"/>
          <w:szCs w:val="24"/>
        </w:rPr>
      </w:pPr>
    </w:p>
    <w:p w:rsidR="005B35D5" w:rsidRDefault="005B35D5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 w:rsidR="003A34EB">
        <w:rPr>
          <w:sz w:val="24"/>
          <w:szCs w:val="24"/>
        </w:rPr>
        <w:t>S</w:t>
      </w:r>
      <w:r>
        <w:rPr>
          <w:sz w:val="24"/>
          <w:szCs w:val="24"/>
        </w:rPr>
        <w:t xml:space="preserve">ubstitutivo ao Projeto de Lei nº </w:t>
      </w:r>
      <w:r w:rsidR="00DB56F0">
        <w:rPr>
          <w:sz w:val="24"/>
          <w:szCs w:val="24"/>
        </w:rPr>
        <w:t>0</w:t>
      </w:r>
      <w:r w:rsidR="00727399">
        <w:rPr>
          <w:sz w:val="24"/>
          <w:szCs w:val="24"/>
        </w:rPr>
        <w:t>36</w:t>
      </w:r>
      <w:r w:rsidR="00DB56F0">
        <w:rPr>
          <w:sz w:val="24"/>
          <w:szCs w:val="24"/>
        </w:rPr>
        <w:t>/2019</w:t>
      </w:r>
      <w:r w:rsidR="00E20582">
        <w:rPr>
          <w:sz w:val="24"/>
          <w:szCs w:val="24"/>
        </w:rPr>
        <w:t>, apresentado à fl.</w:t>
      </w:r>
      <w:r w:rsidR="0055668C">
        <w:rPr>
          <w:sz w:val="24"/>
          <w:szCs w:val="24"/>
        </w:rPr>
        <w:t xml:space="preserve"> 2</w:t>
      </w:r>
      <w:r w:rsidR="00727399">
        <w:rPr>
          <w:sz w:val="24"/>
          <w:szCs w:val="24"/>
        </w:rPr>
        <w:t>4</w:t>
      </w:r>
      <w:r w:rsidR="00E20582">
        <w:rPr>
          <w:sz w:val="24"/>
          <w:szCs w:val="24"/>
        </w:rPr>
        <w:t>,</w:t>
      </w:r>
      <w:r>
        <w:rPr>
          <w:sz w:val="24"/>
          <w:szCs w:val="24"/>
        </w:rPr>
        <w:t xml:space="preserve"> prete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de ajustar </w:t>
      </w:r>
      <w:r w:rsidR="0010479E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proposição aos termos </w:t>
      </w:r>
      <w:r w:rsidR="00DB56F0">
        <w:rPr>
          <w:sz w:val="24"/>
          <w:szCs w:val="24"/>
        </w:rPr>
        <w:t>das orientações jurídicas anteriores</w:t>
      </w:r>
      <w:r w:rsidR="00A33003">
        <w:rPr>
          <w:sz w:val="24"/>
          <w:szCs w:val="24"/>
        </w:rPr>
        <w:t>, tanto da Pr</w:t>
      </w:r>
      <w:r w:rsidR="00A33003">
        <w:rPr>
          <w:sz w:val="24"/>
          <w:szCs w:val="24"/>
        </w:rPr>
        <w:t>o</w:t>
      </w:r>
      <w:r w:rsidR="00A33003">
        <w:rPr>
          <w:sz w:val="24"/>
          <w:szCs w:val="24"/>
        </w:rPr>
        <w:t>curadoria e do IGAM</w:t>
      </w:r>
      <w:r>
        <w:rPr>
          <w:sz w:val="24"/>
          <w:szCs w:val="24"/>
        </w:rPr>
        <w:t xml:space="preserve">, </w:t>
      </w:r>
      <w:r w:rsidR="00DB56F0">
        <w:rPr>
          <w:sz w:val="24"/>
          <w:szCs w:val="24"/>
        </w:rPr>
        <w:t xml:space="preserve">às </w:t>
      </w:r>
      <w:r w:rsidR="00E20582">
        <w:rPr>
          <w:sz w:val="24"/>
          <w:szCs w:val="24"/>
        </w:rPr>
        <w:t>quais</w:t>
      </w:r>
      <w:r>
        <w:rPr>
          <w:sz w:val="24"/>
          <w:szCs w:val="24"/>
        </w:rPr>
        <w:t xml:space="preserve"> me reporto integralmente, </w:t>
      </w:r>
      <w:r w:rsidR="00DB56F0">
        <w:rPr>
          <w:sz w:val="24"/>
          <w:szCs w:val="24"/>
        </w:rPr>
        <w:t>adequando</w:t>
      </w:r>
      <w:r w:rsidR="006406F9">
        <w:rPr>
          <w:sz w:val="24"/>
          <w:szCs w:val="24"/>
        </w:rPr>
        <w:t xml:space="preserve"> a</w:t>
      </w:r>
      <w:r w:rsidR="003A34EB">
        <w:rPr>
          <w:sz w:val="24"/>
          <w:szCs w:val="24"/>
        </w:rPr>
        <w:t xml:space="preserve"> proposição quanto à possibilidade de a legislação municipal suplementar a norma nacional, co</w:t>
      </w:r>
      <w:r w:rsidR="003A34EB">
        <w:rPr>
          <w:sz w:val="24"/>
          <w:szCs w:val="24"/>
        </w:rPr>
        <w:t>n</w:t>
      </w:r>
      <w:r w:rsidR="003A34EB">
        <w:rPr>
          <w:sz w:val="24"/>
          <w:szCs w:val="24"/>
        </w:rPr>
        <w:t>soante prevê o art. 30, II da Constituição Federal</w:t>
      </w:r>
      <w:r w:rsidR="007F4C95">
        <w:rPr>
          <w:sz w:val="24"/>
          <w:szCs w:val="24"/>
        </w:rPr>
        <w:t xml:space="preserve"> e ainda quanto à adequação da esp</w:t>
      </w:r>
      <w:r w:rsidR="007F4C95">
        <w:rPr>
          <w:sz w:val="24"/>
          <w:szCs w:val="24"/>
        </w:rPr>
        <w:t>é</w:t>
      </w:r>
      <w:r w:rsidR="007F4C95">
        <w:rPr>
          <w:sz w:val="24"/>
          <w:szCs w:val="24"/>
        </w:rPr>
        <w:t>cie legislativa para que a proposição tivesse como objeto a alteração do Código de Po</w:t>
      </w:r>
      <w:r w:rsidR="007F4C95">
        <w:rPr>
          <w:sz w:val="24"/>
          <w:szCs w:val="24"/>
        </w:rPr>
        <w:t>s</w:t>
      </w:r>
      <w:r w:rsidR="007F4C95">
        <w:rPr>
          <w:sz w:val="24"/>
          <w:szCs w:val="24"/>
        </w:rPr>
        <w:t>turas Municipal – Lei nº 1.027, de 26 de dezembro de 1990.</w:t>
      </w:r>
    </w:p>
    <w:p w:rsidR="005B35D5" w:rsidRDefault="009A47FD" w:rsidP="009A47FD">
      <w:pPr>
        <w:tabs>
          <w:tab w:val="left" w:pos="3525"/>
        </w:tabs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CB0062" w:rsidRDefault="003F3A13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C</w:t>
      </w:r>
      <w:r w:rsidR="005B35D5">
        <w:rPr>
          <w:b/>
          <w:sz w:val="24"/>
          <w:szCs w:val="24"/>
        </w:rPr>
        <w:t>onsiderando que toda a argumentação referente à competência, à inic</w:t>
      </w:r>
      <w:r w:rsidR="005B35D5">
        <w:rPr>
          <w:b/>
          <w:sz w:val="24"/>
          <w:szCs w:val="24"/>
        </w:rPr>
        <w:t>i</w:t>
      </w:r>
      <w:r w:rsidR="005B35D5">
        <w:rPr>
          <w:b/>
          <w:sz w:val="24"/>
          <w:szCs w:val="24"/>
        </w:rPr>
        <w:t>ativa parlamentar e à matéria legislada já consta n</w:t>
      </w:r>
      <w:r w:rsidR="00DB56F0">
        <w:rPr>
          <w:b/>
          <w:sz w:val="24"/>
          <w:szCs w:val="24"/>
        </w:rPr>
        <w:t>as orientações da Procuradoria e do IGAM</w:t>
      </w:r>
      <w:r w:rsidR="005B35D5">
        <w:rPr>
          <w:b/>
          <w:sz w:val="24"/>
          <w:szCs w:val="24"/>
        </w:rPr>
        <w:t xml:space="preserve">, </w:t>
      </w:r>
      <w:r w:rsidR="00DB56F0">
        <w:rPr>
          <w:b/>
          <w:sz w:val="24"/>
          <w:szCs w:val="24"/>
        </w:rPr>
        <w:t>as</w:t>
      </w:r>
      <w:r w:rsidR="00E20582">
        <w:rPr>
          <w:b/>
          <w:sz w:val="24"/>
          <w:szCs w:val="24"/>
        </w:rPr>
        <w:t xml:space="preserve"> quais</w:t>
      </w:r>
      <w:r w:rsidR="005B35D5">
        <w:rPr>
          <w:b/>
          <w:sz w:val="24"/>
          <w:szCs w:val="24"/>
        </w:rPr>
        <w:t xml:space="preserve"> reitero</w:t>
      </w:r>
      <w:r w:rsidR="00746DCF">
        <w:rPr>
          <w:b/>
          <w:sz w:val="24"/>
          <w:szCs w:val="24"/>
        </w:rPr>
        <w:t xml:space="preserve"> neste momento</w:t>
      </w:r>
      <w:r w:rsidR="005B35D5">
        <w:rPr>
          <w:b/>
          <w:sz w:val="24"/>
          <w:szCs w:val="24"/>
        </w:rPr>
        <w:t xml:space="preserve">, </w:t>
      </w:r>
      <w:r w:rsidR="005B35D5">
        <w:rPr>
          <w:sz w:val="24"/>
          <w:szCs w:val="24"/>
        </w:rPr>
        <w:t>desnecessário um novo enfrentamento pormenorizado d</w:t>
      </w:r>
      <w:r w:rsidR="009B263F">
        <w:rPr>
          <w:sz w:val="24"/>
          <w:szCs w:val="24"/>
        </w:rPr>
        <w:t xml:space="preserve">os dispositivos </w:t>
      </w:r>
      <w:r w:rsidR="005B35D5">
        <w:rPr>
          <w:sz w:val="24"/>
          <w:szCs w:val="24"/>
        </w:rPr>
        <w:t>do substitutivo, já que medida em sentido contrário resultaria em inopor</w:t>
      </w:r>
      <w:r w:rsidR="00C809CD">
        <w:rPr>
          <w:sz w:val="24"/>
          <w:szCs w:val="24"/>
        </w:rPr>
        <w:t>tuna repetição de fundamentaçã</w:t>
      </w:r>
      <w:r w:rsidR="005218BB">
        <w:rPr>
          <w:sz w:val="24"/>
          <w:szCs w:val="24"/>
        </w:rPr>
        <w:t xml:space="preserve">o, já os pareceres opinaram pela </w:t>
      </w:r>
      <w:r w:rsidR="0010479E">
        <w:rPr>
          <w:sz w:val="24"/>
          <w:szCs w:val="24"/>
        </w:rPr>
        <w:t>possibilidade de ser apresentado Substitutivo ao projeto original suplementando a legislação nacional quanto ao tema</w:t>
      </w:r>
      <w:r w:rsidR="00C847DC">
        <w:rPr>
          <w:sz w:val="24"/>
          <w:szCs w:val="24"/>
        </w:rPr>
        <w:t xml:space="preserve"> e o parecer do IGAM </w:t>
      </w:r>
      <w:r w:rsidR="00C847DC" w:rsidRPr="008A0FCB">
        <w:rPr>
          <w:b/>
          <w:sz w:val="24"/>
          <w:szCs w:val="24"/>
          <w:u w:val="single"/>
        </w:rPr>
        <w:t>sugerindo a alteração no C</w:t>
      </w:r>
      <w:r w:rsidR="00C847DC" w:rsidRPr="008A0FCB">
        <w:rPr>
          <w:b/>
          <w:sz w:val="24"/>
          <w:szCs w:val="24"/>
          <w:u w:val="single"/>
        </w:rPr>
        <w:t>ó</w:t>
      </w:r>
      <w:r w:rsidR="00C847DC" w:rsidRPr="008A0FCB">
        <w:rPr>
          <w:b/>
          <w:sz w:val="24"/>
          <w:szCs w:val="24"/>
          <w:u w:val="single"/>
        </w:rPr>
        <w:t>digo de Posturas Municipal (fls. 20 e 21)</w:t>
      </w:r>
      <w:r w:rsidR="00CB0062">
        <w:rPr>
          <w:sz w:val="24"/>
          <w:szCs w:val="24"/>
        </w:rPr>
        <w:t>.</w:t>
      </w:r>
      <w:r w:rsidR="005218BB">
        <w:rPr>
          <w:sz w:val="24"/>
          <w:szCs w:val="24"/>
        </w:rPr>
        <w:t xml:space="preserve"> </w:t>
      </w:r>
    </w:p>
    <w:p w:rsidR="00CB0062" w:rsidRDefault="00CB0062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B41BC" w:rsidRDefault="001B41BC" w:rsidP="001B41BC">
      <w:pPr>
        <w:spacing w:after="0" w:line="360" w:lineRule="auto"/>
        <w:ind w:firstLine="1134"/>
        <w:jc w:val="both"/>
        <w:rPr>
          <w:sz w:val="24"/>
          <w:szCs w:val="24"/>
        </w:rPr>
      </w:pPr>
      <w:r w:rsidRPr="000F1869">
        <w:rPr>
          <w:sz w:val="24"/>
          <w:szCs w:val="24"/>
        </w:rPr>
        <w:t xml:space="preserve">De acordo com a conceituação no Novo Dicionário da Língua Portuguesa, de Aurélio Buarque, suplemento é o que supre; é a "parte que se ajunta a um todo para </w:t>
      </w:r>
      <w:r w:rsidRPr="0012106B">
        <w:rPr>
          <w:b/>
          <w:sz w:val="24"/>
          <w:szCs w:val="24"/>
        </w:rPr>
        <w:t>ampliá-lo ou para aperfeiçoá-lo</w:t>
      </w:r>
      <w:r w:rsidRPr="000F1869">
        <w:rPr>
          <w:sz w:val="24"/>
          <w:szCs w:val="24"/>
        </w:rPr>
        <w:t>. O que serve para suprir qualquer falta". Co</w:t>
      </w:r>
      <w:r w:rsidRPr="000F1869">
        <w:rPr>
          <w:sz w:val="24"/>
          <w:szCs w:val="24"/>
        </w:rPr>
        <w:t>n</w:t>
      </w:r>
      <w:r w:rsidRPr="000F1869">
        <w:rPr>
          <w:sz w:val="24"/>
          <w:szCs w:val="24"/>
        </w:rPr>
        <w:t>forme ensina Paulo Affonso Leme Machado, "</w:t>
      </w:r>
      <w:r w:rsidRPr="002E2ADA">
        <w:rPr>
          <w:b/>
          <w:sz w:val="24"/>
          <w:szCs w:val="24"/>
        </w:rPr>
        <w:t>A capacidade suplementaria está cond</w:t>
      </w:r>
      <w:r w:rsidRPr="002E2ADA">
        <w:rPr>
          <w:b/>
          <w:sz w:val="24"/>
          <w:szCs w:val="24"/>
        </w:rPr>
        <w:t>i</w:t>
      </w:r>
      <w:r w:rsidRPr="002E2ADA">
        <w:rPr>
          <w:b/>
          <w:sz w:val="24"/>
          <w:szCs w:val="24"/>
        </w:rPr>
        <w:t>cionada à necessidade de aperfeiçoar a legislação federal</w:t>
      </w:r>
      <w:r>
        <w:rPr>
          <w:sz w:val="24"/>
          <w:szCs w:val="24"/>
        </w:rPr>
        <w:t>”.</w:t>
      </w:r>
    </w:p>
    <w:p w:rsidR="001B41BC" w:rsidRDefault="001B41BC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E1FF7" w:rsidRDefault="009E1FF7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9E1FF7">
        <w:rPr>
          <w:sz w:val="24"/>
          <w:szCs w:val="24"/>
        </w:rPr>
        <w:t>Pela competência suplementar, compete ao município suplementar a legi</w:t>
      </w:r>
      <w:r w:rsidRPr="009E1FF7">
        <w:rPr>
          <w:sz w:val="24"/>
          <w:szCs w:val="24"/>
        </w:rPr>
        <w:t>s</w:t>
      </w:r>
      <w:r w:rsidRPr="009E1FF7">
        <w:rPr>
          <w:sz w:val="24"/>
          <w:szCs w:val="24"/>
        </w:rPr>
        <w:t>lação federal e estadual, no que couber, ou seja, o município pode suprir as omissões e lacunas da legislação federal e estadual, sem obviamente contraditá-las. Tal comp</w:t>
      </w:r>
      <w:r w:rsidRPr="009E1FF7">
        <w:rPr>
          <w:sz w:val="24"/>
          <w:szCs w:val="24"/>
        </w:rPr>
        <w:t>e</w:t>
      </w:r>
      <w:r w:rsidRPr="009E1FF7">
        <w:rPr>
          <w:sz w:val="24"/>
          <w:szCs w:val="24"/>
        </w:rPr>
        <w:t xml:space="preserve">tência se aplica também às matérias elencadas no artigo 24 da Constituição Federal. </w:t>
      </w:r>
    </w:p>
    <w:p w:rsidR="009E1FF7" w:rsidRDefault="009E1FF7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E1FF7" w:rsidRDefault="009E1FF7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9E1FF7">
        <w:rPr>
          <w:sz w:val="24"/>
          <w:szCs w:val="24"/>
        </w:rPr>
        <w:t xml:space="preserve">É pertinente destacar trecho da obra de Gilmar Mendes sobre o tema: </w:t>
      </w:r>
    </w:p>
    <w:p w:rsidR="009E1FF7" w:rsidRDefault="009E1FF7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61CFE" w:rsidRDefault="009E1FF7" w:rsidP="00061CFE">
      <w:pPr>
        <w:spacing w:after="0" w:line="240" w:lineRule="auto"/>
        <w:ind w:left="2126"/>
        <w:jc w:val="both"/>
        <w:rPr>
          <w:sz w:val="24"/>
          <w:szCs w:val="24"/>
        </w:rPr>
      </w:pPr>
      <w:r w:rsidRPr="009E1FF7">
        <w:rPr>
          <w:sz w:val="24"/>
          <w:szCs w:val="24"/>
        </w:rPr>
        <w:t>É claro que a legislação municipal, mesmo que sob o pretexto de proteger interesse local, deve guardar respeito a princípios con</w:t>
      </w:r>
      <w:r w:rsidRPr="009E1FF7">
        <w:rPr>
          <w:sz w:val="24"/>
          <w:szCs w:val="24"/>
        </w:rPr>
        <w:t>s</w:t>
      </w:r>
      <w:r w:rsidRPr="009E1FF7">
        <w:rPr>
          <w:sz w:val="24"/>
          <w:szCs w:val="24"/>
        </w:rPr>
        <w:t>titucionais acaso aplicáveis. Assim, o STF já decidiu que a comp</w:t>
      </w:r>
      <w:r w:rsidRPr="009E1FF7">
        <w:rPr>
          <w:sz w:val="24"/>
          <w:szCs w:val="24"/>
        </w:rPr>
        <w:t>e</w:t>
      </w:r>
      <w:r w:rsidRPr="009E1FF7">
        <w:rPr>
          <w:sz w:val="24"/>
          <w:szCs w:val="24"/>
        </w:rPr>
        <w:t>tência para estabelecer o zoneamento da cidade não pode ser desempenhada de modo a afetar princípios da livre concorrê</w:t>
      </w:r>
      <w:r w:rsidRPr="009E1FF7">
        <w:rPr>
          <w:sz w:val="24"/>
          <w:szCs w:val="24"/>
        </w:rPr>
        <w:t>n</w:t>
      </w:r>
      <w:r w:rsidRPr="009E1FF7">
        <w:rPr>
          <w:sz w:val="24"/>
          <w:szCs w:val="24"/>
        </w:rPr>
        <w:t>cia. O tema é objeto da Súmula 646.</w:t>
      </w:r>
      <w:r w:rsidR="00061CFE">
        <w:rPr>
          <w:sz w:val="24"/>
          <w:szCs w:val="24"/>
        </w:rPr>
        <w:tab/>
      </w:r>
      <w:r w:rsidRPr="009E1FF7">
        <w:rPr>
          <w:sz w:val="24"/>
          <w:szCs w:val="24"/>
        </w:rPr>
        <w:t xml:space="preserve"> </w:t>
      </w:r>
    </w:p>
    <w:p w:rsidR="00061CFE" w:rsidRDefault="009E1FF7" w:rsidP="00061CFE">
      <w:pPr>
        <w:spacing w:after="0" w:line="240" w:lineRule="auto"/>
        <w:ind w:left="2126"/>
        <w:jc w:val="both"/>
        <w:rPr>
          <w:sz w:val="24"/>
          <w:szCs w:val="24"/>
        </w:rPr>
      </w:pPr>
      <w:r w:rsidRPr="009E1FF7">
        <w:rPr>
          <w:sz w:val="24"/>
          <w:szCs w:val="24"/>
        </w:rPr>
        <w:t>Aos Municípios é dado legislar para suplementar a legislação e</w:t>
      </w:r>
      <w:r w:rsidRPr="009E1FF7">
        <w:rPr>
          <w:sz w:val="24"/>
          <w:szCs w:val="24"/>
        </w:rPr>
        <w:t>s</w:t>
      </w:r>
      <w:r w:rsidRPr="009E1FF7">
        <w:rPr>
          <w:sz w:val="24"/>
          <w:szCs w:val="24"/>
        </w:rPr>
        <w:t>tadual e federal, desde que isso seja necessário ao interesse l</w:t>
      </w:r>
      <w:r w:rsidRPr="009E1FF7">
        <w:rPr>
          <w:sz w:val="24"/>
          <w:szCs w:val="24"/>
        </w:rPr>
        <w:t>o</w:t>
      </w:r>
      <w:r w:rsidRPr="009E1FF7">
        <w:rPr>
          <w:sz w:val="24"/>
          <w:szCs w:val="24"/>
        </w:rPr>
        <w:t>cal. A normação municipal, no exercício dessa competência, há de respeitar as normas federais e estaduais existentes. A supe</w:t>
      </w:r>
      <w:r w:rsidRPr="009E1FF7">
        <w:rPr>
          <w:sz w:val="24"/>
          <w:szCs w:val="24"/>
        </w:rPr>
        <w:t>r</w:t>
      </w:r>
      <w:r w:rsidRPr="009E1FF7">
        <w:rPr>
          <w:sz w:val="24"/>
          <w:szCs w:val="24"/>
        </w:rPr>
        <w:t>veniência de lei federal ou estadual contrária à municipal, su</w:t>
      </w:r>
      <w:r w:rsidRPr="009E1FF7">
        <w:rPr>
          <w:sz w:val="24"/>
          <w:szCs w:val="24"/>
        </w:rPr>
        <w:t>s</w:t>
      </w:r>
      <w:r w:rsidRPr="009E1FF7">
        <w:rPr>
          <w:sz w:val="24"/>
          <w:szCs w:val="24"/>
        </w:rPr>
        <w:t xml:space="preserve">pende a eficácia desta. </w:t>
      </w:r>
    </w:p>
    <w:p w:rsidR="009E1FF7" w:rsidRPr="002E2ADA" w:rsidRDefault="009E1FF7" w:rsidP="00061CFE">
      <w:pPr>
        <w:spacing w:after="0" w:line="240" w:lineRule="auto"/>
        <w:ind w:left="2126"/>
        <w:jc w:val="both"/>
        <w:rPr>
          <w:b/>
          <w:sz w:val="24"/>
          <w:szCs w:val="24"/>
        </w:rPr>
      </w:pPr>
      <w:r w:rsidRPr="002E2ADA">
        <w:rPr>
          <w:b/>
          <w:sz w:val="24"/>
          <w:szCs w:val="24"/>
        </w:rPr>
        <w:t>A competência suplementar se exerce para regulamentar as normas legislativas federais e estaduais, inclusive as enumer</w:t>
      </w:r>
      <w:r w:rsidRPr="002E2ADA">
        <w:rPr>
          <w:b/>
          <w:sz w:val="24"/>
          <w:szCs w:val="24"/>
        </w:rPr>
        <w:t>a</w:t>
      </w:r>
      <w:r w:rsidRPr="002E2ADA">
        <w:rPr>
          <w:b/>
          <w:sz w:val="24"/>
          <w:szCs w:val="24"/>
        </w:rPr>
        <w:t>das no art. 24 da CF, a fim de atender, com melhor precisão, aos interesses surgidos das peculiaridades locais.</w:t>
      </w:r>
    </w:p>
    <w:p w:rsidR="009E1FF7" w:rsidRDefault="009E1FF7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43C40" w:rsidRDefault="00243C40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243C40">
        <w:rPr>
          <w:sz w:val="24"/>
          <w:szCs w:val="24"/>
        </w:rPr>
        <w:t>O Tribunal de Justiça de São Paulo, através do voto do Desembargador R</w:t>
      </w:r>
      <w:r w:rsidRPr="00243C40">
        <w:rPr>
          <w:sz w:val="24"/>
          <w:szCs w:val="24"/>
        </w:rPr>
        <w:t>o</w:t>
      </w:r>
      <w:r w:rsidR="0081549A">
        <w:rPr>
          <w:sz w:val="24"/>
          <w:szCs w:val="24"/>
        </w:rPr>
        <w:t>berto Mac</w:t>
      </w:r>
      <w:r w:rsidRPr="00243C40">
        <w:rPr>
          <w:sz w:val="24"/>
          <w:szCs w:val="24"/>
        </w:rPr>
        <w:t xml:space="preserve">Cracken, no julgamento da ADI nº 01752128420138260000, manifestou-se sobre a competência legislativa dos municípios: </w:t>
      </w:r>
    </w:p>
    <w:p w:rsidR="00243C40" w:rsidRDefault="00243C40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43C40" w:rsidRDefault="00243C40" w:rsidP="00243C40">
      <w:pPr>
        <w:spacing w:after="0" w:line="240" w:lineRule="auto"/>
        <w:ind w:left="2126"/>
        <w:jc w:val="both"/>
        <w:rPr>
          <w:sz w:val="24"/>
          <w:szCs w:val="24"/>
        </w:rPr>
      </w:pPr>
      <w:r w:rsidRPr="00243C40">
        <w:rPr>
          <w:sz w:val="24"/>
          <w:szCs w:val="24"/>
        </w:rPr>
        <w:lastRenderedPageBreak/>
        <w:t>A questão da competência legislativa deve ser apreciada sobre a exegese dos artigos 24 e 30 da CF/88, isto é, enquanto o prime</w:t>
      </w:r>
      <w:r w:rsidRPr="00243C40">
        <w:rPr>
          <w:sz w:val="24"/>
          <w:szCs w:val="24"/>
        </w:rPr>
        <w:t>i</w:t>
      </w:r>
      <w:r w:rsidRPr="00243C40">
        <w:rPr>
          <w:sz w:val="24"/>
          <w:szCs w:val="24"/>
        </w:rPr>
        <w:t>ro arrola as competências concorrentes da União, Estados e Di</w:t>
      </w:r>
      <w:r w:rsidRPr="00243C40">
        <w:rPr>
          <w:sz w:val="24"/>
          <w:szCs w:val="24"/>
        </w:rPr>
        <w:t>s</w:t>
      </w:r>
      <w:r w:rsidRPr="00243C40">
        <w:rPr>
          <w:sz w:val="24"/>
          <w:szCs w:val="24"/>
        </w:rPr>
        <w:t>trito Federal para legislar, principalmente, sobre proteção do meio ambiente (artigo 24, inciso VI), o segundo autoriza o Mun</w:t>
      </w:r>
      <w:r w:rsidRPr="00243C40">
        <w:rPr>
          <w:sz w:val="24"/>
          <w:szCs w:val="24"/>
        </w:rPr>
        <w:t>i</w:t>
      </w:r>
      <w:r w:rsidRPr="00243C40">
        <w:rPr>
          <w:sz w:val="24"/>
          <w:szCs w:val="24"/>
        </w:rPr>
        <w:t>cípio a “suplementar a legislação federal e a estadual no que couber” (artigo 30, inciso II), assim, a lei impugnada, que dispôs sobre proteção do meio ambiente na comercialização, na troca e no descarte de óleo lubrificante, não ingressou na matéria amb</w:t>
      </w:r>
      <w:r w:rsidRPr="00243C40">
        <w:rPr>
          <w:sz w:val="24"/>
          <w:szCs w:val="24"/>
        </w:rPr>
        <w:t>i</w:t>
      </w:r>
      <w:r w:rsidRPr="00243C40">
        <w:rPr>
          <w:sz w:val="24"/>
          <w:szCs w:val="24"/>
        </w:rPr>
        <w:t xml:space="preserve">ental de forma genérica, mas apenas </w:t>
      </w:r>
      <w:r w:rsidRPr="002E2ADA">
        <w:rPr>
          <w:b/>
          <w:sz w:val="24"/>
          <w:szCs w:val="24"/>
        </w:rPr>
        <w:t>promoveu regulamentação suplementar e nitidamente específica</w:t>
      </w:r>
      <w:r w:rsidRPr="00243C40">
        <w:rPr>
          <w:sz w:val="24"/>
          <w:szCs w:val="24"/>
        </w:rPr>
        <w:t>, não ofendendo a comp</w:t>
      </w:r>
      <w:r w:rsidRPr="00243C40">
        <w:rPr>
          <w:sz w:val="24"/>
          <w:szCs w:val="24"/>
        </w:rPr>
        <w:t>e</w:t>
      </w:r>
      <w:r w:rsidRPr="00243C40">
        <w:rPr>
          <w:sz w:val="24"/>
          <w:szCs w:val="24"/>
        </w:rPr>
        <w:t>tência legislativa de qualquer outra Unidade da Federação, mas, pelo contrário, exerceu preceito constitucional dentro dos lim</w:t>
      </w:r>
      <w:r w:rsidRPr="00243C40">
        <w:rPr>
          <w:sz w:val="24"/>
          <w:szCs w:val="24"/>
        </w:rPr>
        <w:t>i</w:t>
      </w:r>
      <w:r w:rsidRPr="00243C40">
        <w:rPr>
          <w:sz w:val="24"/>
          <w:szCs w:val="24"/>
        </w:rPr>
        <w:t>tes próprios e atinentes ao seu campo de atuação. (SÃO PAULO, 2014)</w:t>
      </w:r>
    </w:p>
    <w:p w:rsidR="00243C40" w:rsidRDefault="00243C40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B35D5" w:rsidRDefault="00CB0062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Está</w:t>
      </w:r>
      <w:r w:rsidR="005218BB">
        <w:rPr>
          <w:sz w:val="24"/>
          <w:szCs w:val="24"/>
        </w:rPr>
        <w:t xml:space="preserve"> bem exercida a competência municipal e a iniciativa parlamentar para legislar sobre a matéria</w:t>
      </w:r>
      <w:r w:rsidR="006317D9">
        <w:rPr>
          <w:sz w:val="24"/>
          <w:szCs w:val="24"/>
        </w:rPr>
        <w:t xml:space="preserve"> que diz respeito ao interesse local</w:t>
      </w:r>
      <w:r>
        <w:rPr>
          <w:sz w:val="24"/>
          <w:szCs w:val="24"/>
        </w:rPr>
        <w:t>, já que a jurisprudência co</w:t>
      </w:r>
      <w:r>
        <w:rPr>
          <w:sz w:val="24"/>
          <w:szCs w:val="24"/>
        </w:rPr>
        <w:t>n</w:t>
      </w:r>
      <w:r>
        <w:rPr>
          <w:sz w:val="24"/>
          <w:szCs w:val="24"/>
        </w:rPr>
        <w:t>sidera possível a legislação local que prevê normas que garantem direitos mais amplos. Nesse sentido o Substitutivo</w:t>
      </w:r>
      <w:r w:rsidR="00182231">
        <w:rPr>
          <w:sz w:val="24"/>
          <w:szCs w:val="24"/>
        </w:rPr>
        <w:t xml:space="preserve"> de fl. </w:t>
      </w:r>
      <w:r w:rsidR="00A33003">
        <w:rPr>
          <w:sz w:val="24"/>
          <w:szCs w:val="24"/>
        </w:rPr>
        <w:t>2</w:t>
      </w:r>
      <w:r w:rsidR="00182231">
        <w:rPr>
          <w:sz w:val="24"/>
          <w:szCs w:val="24"/>
        </w:rPr>
        <w:t>4</w:t>
      </w:r>
      <w:r>
        <w:rPr>
          <w:sz w:val="24"/>
          <w:szCs w:val="24"/>
        </w:rPr>
        <w:t xml:space="preserve"> garante, além dos 10% já previstos na lei naci</w:t>
      </w:r>
      <w:r>
        <w:rPr>
          <w:sz w:val="24"/>
          <w:szCs w:val="24"/>
        </w:rPr>
        <w:t>o</w:t>
      </w:r>
      <w:r>
        <w:rPr>
          <w:sz w:val="24"/>
          <w:szCs w:val="24"/>
        </w:rPr>
        <w:t>nal, que haja ao menos um banheiro acessível feminino e um masculino.</w:t>
      </w:r>
      <w:r w:rsidR="0012106B">
        <w:rPr>
          <w:sz w:val="24"/>
          <w:szCs w:val="24"/>
        </w:rPr>
        <w:t xml:space="preserve"> Nessa med</w:t>
      </w:r>
      <w:r w:rsidR="0012106B">
        <w:rPr>
          <w:sz w:val="24"/>
          <w:szCs w:val="24"/>
        </w:rPr>
        <w:t>i</w:t>
      </w:r>
      <w:r w:rsidR="0012106B">
        <w:rPr>
          <w:sz w:val="24"/>
          <w:szCs w:val="24"/>
        </w:rPr>
        <w:t xml:space="preserve">da, </w:t>
      </w:r>
      <w:r w:rsidR="0012106B" w:rsidRPr="0012106B">
        <w:rPr>
          <w:b/>
          <w:sz w:val="24"/>
          <w:szCs w:val="24"/>
          <w:u w:val="single"/>
        </w:rPr>
        <w:t>o Substitutivo ao PL 036/2019 efetivamente amplia os direitos previstos na lei naci</w:t>
      </w:r>
      <w:r w:rsidR="0012106B" w:rsidRPr="0012106B">
        <w:rPr>
          <w:b/>
          <w:sz w:val="24"/>
          <w:szCs w:val="24"/>
          <w:u w:val="single"/>
        </w:rPr>
        <w:t>o</w:t>
      </w:r>
      <w:r w:rsidR="0012106B" w:rsidRPr="0012106B">
        <w:rPr>
          <w:b/>
          <w:sz w:val="24"/>
          <w:szCs w:val="24"/>
          <w:u w:val="single"/>
        </w:rPr>
        <w:t>nal</w:t>
      </w:r>
      <w:r w:rsidR="008A0FCB">
        <w:rPr>
          <w:sz w:val="24"/>
          <w:szCs w:val="24"/>
        </w:rPr>
        <w:t xml:space="preserve"> e veio a alterar o Código de Posturas Municipal.</w:t>
      </w:r>
    </w:p>
    <w:p w:rsidR="008A0FCB" w:rsidRDefault="008A0FCB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A0FCB" w:rsidRDefault="008A0FCB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Cumpre registrar que sendo o artigo 46 da Lei Orgânica Municipal disciplina que o Código de Posturas Municipal é Lei Complementar, devendo haver </w:t>
      </w:r>
      <w:r w:rsidRPr="008A0FCB">
        <w:rPr>
          <w:sz w:val="24"/>
          <w:szCs w:val="24"/>
        </w:rPr>
        <w:t>ampla divu</w:t>
      </w:r>
      <w:r w:rsidRPr="008A0FCB">
        <w:rPr>
          <w:sz w:val="24"/>
          <w:szCs w:val="24"/>
        </w:rPr>
        <w:t>l</w:t>
      </w:r>
      <w:r w:rsidRPr="008A0FCB">
        <w:rPr>
          <w:sz w:val="24"/>
          <w:szCs w:val="24"/>
        </w:rPr>
        <w:t>gação e a realização de consulta pública aos projetos de leis complementares para r</w:t>
      </w:r>
      <w:r w:rsidRPr="008A0FCB">
        <w:rPr>
          <w:sz w:val="24"/>
          <w:szCs w:val="24"/>
        </w:rPr>
        <w:t>e</w:t>
      </w:r>
      <w:r>
        <w:rPr>
          <w:sz w:val="24"/>
          <w:szCs w:val="24"/>
        </w:rPr>
        <w:t>cebimento de sugestões:</w:t>
      </w:r>
    </w:p>
    <w:p w:rsidR="008A0FCB" w:rsidRDefault="008A0FCB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A0FCB" w:rsidRDefault="008A0FCB" w:rsidP="008A0FCB">
      <w:pPr>
        <w:spacing w:after="0" w:line="240" w:lineRule="auto"/>
        <w:ind w:left="2832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Art. 46 </w:t>
      </w:r>
      <w:r w:rsidRPr="008A0FCB">
        <w:rPr>
          <w:b/>
          <w:sz w:val="24"/>
          <w:szCs w:val="24"/>
        </w:rPr>
        <w:t xml:space="preserve">São leis complementares que dependem da </w:t>
      </w:r>
      <w:r w:rsidRPr="008A0FCB">
        <w:rPr>
          <w:b/>
          <w:sz w:val="24"/>
          <w:szCs w:val="24"/>
        </w:rPr>
        <w:t>a</w:t>
      </w:r>
      <w:r w:rsidRPr="008A0FCB">
        <w:rPr>
          <w:b/>
          <w:sz w:val="24"/>
          <w:szCs w:val="24"/>
        </w:rPr>
        <w:t>provação da mai</w:t>
      </w:r>
      <w:r w:rsidRPr="008A0FCB">
        <w:rPr>
          <w:b/>
          <w:sz w:val="24"/>
          <w:szCs w:val="24"/>
        </w:rPr>
        <w:t>o</w:t>
      </w:r>
      <w:r w:rsidRPr="008A0FCB">
        <w:rPr>
          <w:b/>
          <w:sz w:val="24"/>
          <w:szCs w:val="24"/>
        </w:rPr>
        <w:t>ria absoluta dos membros da Câmara:</w:t>
      </w:r>
      <w:r w:rsidRPr="008A0FCB">
        <w:rPr>
          <w:sz w:val="24"/>
          <w:szCs w:val="24"/>
        </w:rPr>
        <w:t xml:space="preserve">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I - código de obras; </w:t>
      </w:r>
    </w:p>
    <w:p w:rsidR="008A0FCB" w:rsidRPr="008A0FCB" w:rsidRDefault="008A0FCB" w:rsidP="008A0FCB">
      <w:pPr>
        <w:spacing w:after="0" w:line="240" w:lineRule="auto"/>
        <w:ind w:left="1698" w:firstLine="1134"/>
        <w:jc w:val="both"/>
        <w:rPr>
          <w:b/>
          <w:sz w:val="24"/>
          <w:szCs w:val="24"/>
        </w:rPr>
      </w:pPr>
      <w:r w:rsidRPr="008A0FCB">
        <w:rPr>
          <w:b/>
          <w:sz w:val="24"/>
          <w:szCs w:val="24"/>
        </w:rPr>
        <w:t xml:space="preserve">II - código de posturas;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III - código tributário;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IV - plano diretor;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V - código do meio ambiente;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VI - estatuto do servidor público; </w:t>
      </w:r>
    </w:p>
    <w:p w:rsidR="008A0FCB" w:rsidRDefault="008A0FCB" w:rsidP="008A0FCB">
      <w:pPr>
        <w:spacing w:after="0" w:line="240" w:lineRule="auto"/>
        <w:ind w:left="1698" w:firstLine="1134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VII - planos de carreira dos servidores; </w:t>
      </w:r>
    </w:p>
    <w:p w:rsidR="008A0FCB" w:rsidRDefault="008A0FCB" w:rsidP="008A0FCB">
      <w:pPr>
        <w:spacing w:after="0" w:line="240" w:lineRule="auto"/>
        <w:ind w:left="2832"/>
        <w:jc w:val="both"/>
        <w:rPr>
          <w:sz w:val="24"/>
          <w:szCs w:val="24"/>
        </w:rPr>
      </w:pPr>
      <w:r w:rsidRPr="008A0FCB">
        <w:rPr>
          <w:sz w:val="24"/>
          <w:szCs w:val="24"/>
        </w:rPr>
        <w:lastRenderedPageBreak/>
        <w:t>VIII - lei que trata da elaboração, redação, alteração e consolid</w:t>
      </w:r>
      <w:r w:rsidRPr="008A0FCB">
        <w:rPr>
          <w:sz w:val="24"/>
          <w:szCs w:val="24"/>
        </w:rPr>
        <w:t>a</w:t>
      </w:r>
      <w:r w:rsidRPr="008A0FCB">
        <w:rPr>
          <w:sz w:val="24"/>
          <w:szCs w:val="24"/>
        </w:rPr>
        <w:t xml:space="preserve">ção das leis. </w:t>
      </w:r>
    </w:p>
    <w:p w:rsidR="008A0FCB" w:rsidRDefault="008A0FCB" w:rsidP="008A0FCB">
      <w:pPr>
        <w:spacing w:after="0" w:line="240" w:lineRule="auto"/>
        <w:ind w:left="2832"/>
        <w:jc w:val="both"/>
        <w:rPr>
          <w:sz w:val="24"/>
          <w:szCs w:val="24"/>
        </w:rPr>
      </w:pPr>
      <w:r w:rsidRPr="008A0FCB">
        <w:rPr>
          <w:sz w:val="24"/>
          <w:szCs w:val="24"/>
        </w:rPr>
        <w:t xml:space="preserve">§ 1º </w:t>
      </w:r>
      <w:r w:rsidRPr="008A0FCB">
        <w:rPr>
          <w:b/>
          <w:sz w:val="24"/>
          <w:szCs w:val="24"/>
          <w:u w:val="single"/>
        </w:rPr>
        <w:t>Observado o Regimento Interno da Câmara Munic</w:t>
      </w:r>
      <w:r w:rsidRPr="008A0FCB">
        <w:rPr>
          <w:b/>
          <w:sz w:val="24"/>
          <w:szCs w:val="24"/>
          <w:u w:val="single"/>
        </w:rPr>
        <w:t>i</w:t>
      </w:r>
      <w:r w:rsidRPr="008A0FCB">
        <w:rPr>
          <w:b/>
          <w:sz w:val="24"/>
          <w:szCs w:val="24"/>
          <w:u w:val="single"/>
        </w:rPr>
        <w:t>pal, é assegurada a ampla divulgação e a realização de consulta pública aos projetos de leis complementares r</w:t>
      </w:r>
      <w:r w:rsidRPr="008A0FCB">
        <w:rPr>
          <w:b/>
          <w:sz w:val="24"/>
          <w:szCs w:val="24"/>
          <w:u w:val="single"/>
        </w:rPr>
        <w:t>e</w:t>
      </w:r>
      <w:r w:rsidRPr="008A0FCB">
        <w:rPr>
          <w:b/>
          <w:sz w:val="24"/>
          <w:szCs w:val="24"/>
          <w:u w:val="single"/>
        </w:rPr>
        <w:t>feridos no caput para r</w:t>
      </w:r>
      <w:r w:rsidRPr="008A0FCB">
        <w:rPr>
          <w:b/>
          <w:sz w:val="24"/>
          <w:szCs w:val="24"/>
          <w:u w:val="single"/>
        </w:rPr>
        <w:t>e</w:t>
      </w:r>
      <w:r w:rsidRPr="008A0FCB">
        <w:rPr>
          <w:b/>
          <w:sz w:val="24"/>
          <w:szCs w:val="24"/>
          <w:u w:val="single"/>
        </w:rPr>
        <w:t>cebimento de sugestões.</w:t>
      </w:r>
      <w:r w:rsidRPr="008A0FCB">
        <w:rPr>
          <w:sz w:val="24"/>
          <w:szCs w:val="24"/>
        </w:rPr>
        <w:t xml:space="preserve"> </w:t>
      </w:r>
    </w:p>
    <w:p w:rsidR="008A0FCB" w:rsidRDefault="008A0FCB" w:rsidP="008A0FCB">
      <w:pPr>
        <w:spacing w:after="0" w:line="240" w:lineRule="auto"/>
        <w:ind w:left="2832"/>
        <w:jc w:val="both"/>
        <w:rPr>
          <w:sz w:val="24"/>
          <w:szCs w:val="24"/>
        </w:rPr>
      </w:pPr>
      <w:r w:rsidRPr="008A0FCB">
        <w:rPr>
          <w:sz w:val="24"/>
          <w:szCs w:val="24"/>
        </w:rPr>
        <w:t>§ 2º A sugestão popular referida no § 1º deste artigo não pode versar sobre assuntos com reserva de competência. (Redação dada pela Emenda à Lei Org</w:t>
      </w:r>
      <w:r w:rsidRPr="008A0FCB">
        <w:rPr>
          <w:sz w:val="24"/>
          <w:szCs w:val="24"/>
        </w:rPr>
        <w:t>â</w:t>
      </w:r>
      <w:r w:rsidRPr="008A0FCB">
        <w:rPr>
          <w:sz w:val="24"/>
          <w:szCs w:val="24"/>
        </w:rPr>
        <w:t>nica nº 2/2017)</w:t>
      </w:r>
    </w:p>
    <w:p w:rsidR="00746DCF" w:rsidRDefault="00746DCF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B35D5" w:rsidRDefault="005B35D5" w:rsidP="00746DCF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5B35D5" w:rsidRDefault="005B35D5" w:rsidP="00746DCF">
      <w:pPr>
        <w:spacing w:after="0" w:line="360" w:lineRule="auto"/>
        <w:jc w:val="both"/>
        <w:rPr>
          <w:b/>
          <w:sz w:val="24"/>
          <w:szCs w:val="24"/>
        </w:rPr>
      </w:pPr>
    </w:p>
    <w:p w:rsidR="00746DCF" w:rsidRDefault="005B35D5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 w:rsidRPr="00C022E8">
        <w:rPr>
          <w:sz w:val="24"/>
          <w:szCs w:val="24"/>
        </w:rPr>
        <w:t>Diante do exposto,</w:t>
      </w:r>
      <w:r>
        <w:rPr>
          <w:sz w:val="24"/>
          <w:szCs w:val="24"/>
        </w:rPr>
        <w:t xml:space="preserve"> </w:t>
      </w:r>
      <w:r w:rsidRPr="00C022E8">
        <w:rPr>
          <w:sz w:val="24"/>
          <w:szCs w:val="24"/>
        </w:rPr>
        <w:t xml:space="preserve">a Procuradoria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>pela</w:t>
      </w:r>
      <w:r w:rsidR="00910F73">
        <w:rPr>
          <w:sz w:val="24"/>
          <w:szCs w:val="24"/>
        </w:rPr>
        <w:t xml:space="preserve"> </w:t>
      </w:r>
      <w:r w:rsidR="002A773F">
        <w:rPr>
          <w:sz w:val="24"/>
          <w:szCs w:val="24"/>
        </w:rPr>
        <w:t>legalidade e pela regular tramitação do 3º Substitutivo ao Projeto de Lei nº 036/2019, de autoria dos Veread</w:t>
      </w:r>
      <w:r w:rsidR="002A773F">
        <w:rPr>
          <w:sz w:val="24"/>
          <w:szCs w:val="24"/>
        </w:rPr>
        <w:t>o</w:t>
      </w:r>
      <w:r w:rsidR="002A773F">
        <w:rPr>
          <w:sz w:val="24"/>
          <w:szCs w:val="24"/>
        </w:rPr>
        <w:t>res Dr. João Collares (PDT) e Claudinha Jardim (DEM)</w:t>
      </w:r>
      <w:r w:rsidR="00AC6295">
        <w:rPr>
          <w:sz w:val="24"/>
          <w:szCs w:val="24"/>
        </w:rPr>
        <w:t>.</w:t>
      </w:r>
    </w:p>
    <w:p w:rsidR="00A33003" w:rsidRDefault="00A33003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Tratando-se de alteração do Código de Posturas, deve ser observado o rito de Lei Complementar, com a realização de </w:t>
      </w:r>
      <w:r w:rsidRPr="00A33003">
        <w:rPr>
          <w:b/>
          <w:sz w:val="24"/>
          <w:szCs w:val="24"/>
        </w:rPr>
        <w:t>ampla divulgação</w:t>
      </w:r>
      <w:r>
        <w:rPr>
          <w:sz w:val="24"/>
          <w:szCs w:val="24"/>
        </w:rPr>
        <w:t xml:space="preserve"> e aprovação por </w:t>
      </w:r>
      <w:r w:rsidRPr="00A33003">
        <w:rPr>
          <w:b/>
          <w:sz w:val="24"/>
          <w:szCs w:val="24"/>
        </w:rPr>
        <w:t>maioria absoluta</w:t>
      </w:r>
      <w:r>
        <w:rPr>
          <w:sz w:val="24"/>
          <w:szCs w:val="24"/>
        </w:rPr>
        <w:t>.</w:t>
      </w:r>
    </w:p>
    <w:p w:rsidR="00746DCF" w:rsidRDefault="00746DCF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46DCF" w:rsidRDefault="00746DCF" w:rsidP="00746DC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746DCF" w:rsidRDefault="00746DCF" w:rsidP="00746DC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B35D5" w:rsidRDefault="005B35D5" w:rsidP="00746DCF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B53612">
        <w:rPr>
          <w:sz w:val="24"/>
          <w:szCs w:val="24"/>
        </w:rPr>
        <w:t>0</w:t>
      </w:r>
      <w:r w:rsidR="00A82CFE">
        <w:rPr>
          <w:sz w:val="24"/>
          <w:szCs w:val="24"/>
        </w:rPr>
        <w:t>2</w:t>
      </w:r>
      <w:r w:rsidR="00746DCF">
        <w:rPr>
          <w:sz w:val="24"/>
          <w:szCs w:val="24"/>
        </w:rPr>
        <w:t xml:space="preserve"> de </w:t>
      </w:r>
      <w:r w:rsidR="00B53612">
        <w:rPr>
          <w:sz w:val="24"/>
          <w:szCs w:val="24"/>
        </w:rPr>
        <w:t>outubro</w:t>
      </w:r>
      <w:r w:rsidR="00746DCF">
        <w:rPr>
          <w:sz w:val="24"/>
          <w:szCs w:val="24"/>
        </w:rPr>
        <w:t xml:space="preserve"> de 2019.</w:t>
      </w:r>
    </w:p>
    <w:p w:rsidR="009B263F" w:rsidRDefault="009B263F" w:rsidP="00DA6E23">
      <w:pPr>
        <w:spacing w:after="0" w:line="240" w:lineRule="auto"/>
        <w:jc w:val="center"/>
        <w:rPr>
          <w:sz w:val="24"/>
          <w:szCs w:val="24"/>
        </w:rPr>
      </w:pPr>
    </w:p>
    <w:p w:rsidR="005B35D5" w:rsidRDefault="00746DCF" w:rsidP="00DA6E23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5B35D5" w:rsidRDefault="005B35D5" w:rsidP="00DA6E2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  <w:r w:rsidR="00746DCF">
        <w:rPr>
          <w:sz w:val="24"/>
          <w:szCs w:val="24"/>
        </w:rPr>
        <w:t xml:space="preserve">-Geral </w:t>
      </w:r>
    </w:p>
    <w:p w:rsidR="00BB7E22" w:rsidRPr="00C673EC" w:rsidRDefault="00746DCF" w:rsidP="00DA6E23">
      <w:pPr>
        <w:spacing w:after="0" w:line="240" w:lineRule="auto"/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>OAB/RS nº 107.136</w:t>
      </w:r>
    </w:p>
    <w:sectPr w:rsidR="00BB7E22" w:rsidRPr="00C673EC" w:rsidSect="004631EA">
      <w:headerReference w:type="default" r:id="rId8"/>
      <w:footerReference w:type="default" r:id="rId9"/>
      <w:pgSz w:w="11906" w:h="16838"/>
      <w:pgMar w:top="1417" w:right="1701" w:bottom="1417" w:left="1701" w:header="567" w:footer="46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089" w:rsidRDefault="00BC3089" w:rsidP="00B365A3">
      <w:pPr>
        <w:spacing w:after="0" w:line="240" w:lineRule="auto"/>
      </w:pPr>
      <w:r>
        <w:separator/>
      </w:r>
    </w:p>
  </w:endnote>
  <w:endnote w:type="continuationSeparator" w:id="1">
    <w:p w:rsidR="00BC3089" w:rsidRDefault="00BC308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61376"/>
      <w:docPartObj>
        <w:docPartGallery w:val="Page Numbers (Bottom of Page)"/>
        <w:docPartUnique/>
      </w:docPartObj>
    </w:sdtPr>
    <w:sdtContent>
      <w:p w:rsidR="00DA6E23" w:rsidRDefault="00ED38F6">
        <w:pPr>
          <w:pStyle w:val="Rodap"/>
          <w:jc w:val="right"/>
        </w:pPr>
        <w:fldSimple w:instr=" PAGE   \* MERGEFORMAT ">
          <w:r w:rsidR="008A0FCB">
            <w:rPr>
              <w:noProof/>
            </w:rPr>
            <w:t>3</w:t>
          </w:r>
        </w:fldSimple>
      </w:p>
    </w:sdtContent>
  </w:sdt>
  <w:p w:rsidR="00B855D2" w:rsidRPr="00EA771B" w:rsidRDefault="00B855D2" w:rsidP="00B855D2">
    <w:pPr>
      <w:pStyle w:val="Rodap"/>
      <w:tabs>
        <w:tab w:val="left" w:pos="6315"/>
      </w:tabs>
      <w:jc w:val="center"/>
      <w:rPr>
        <w:b/>
      </w:rPr>
    </w:pPr>
    <w:r>
      <w:rPr>
        <w:b/>
      </w:rPr>
      <w:t>Procuradoria</w:t>
    </w:r>
  </w:p>
  <w:p w:rsidR="00B855D2" w:rsidRDefault="00B855D2" w:rsidP="00B855D2">
    <w:pPr>
      <w:pStyle w:val="Rodap"/>
      <w:jc w:val="center"/>
    </w:pPr>
    <w:r w:rsidRPr="00EA771B">
      <w:t xml:space="preserve">Av. Sete de setembro, 325 – </w:t>
    </w:r>
    <w:r>
      <w:t xml:space="preserve">CEP 925000-000 (51) 3480-1174 </w:t>
    </w:r>
    <w:r w:rsidRPr="00EA771B">
      <w:t>www.camaraguaiba.rs.gov.br</w:t>
    </w:r>
  </w:p>
  <w:p w:rsidR="00DA6E23" w:rsidRDefault="00DA6E23" w:rsidP="00B855D2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089" w:rsidRDefault="00BC3089" w:rsidP="00B365A3">
      <w:pPr>
        <w:spacing w:after="0" w:line="240" w:lineRule="auto"/>
      </w:pPr>
      <w:r>
        <w:separator/>
      </w:r>
    </w:p>
  </w:footnote>
  <w:footnote w:type="continuationSeparator" w:id="1">
    <w:p w:rsidR="00BC3089" w:rsidRDefault="00BC3089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264F3"/>
    <w:rsid w:val="00031855"/>
    <w:rsid w:val="00031F34"/>
    <w:rsid w:val="00032713"/>
    <w:rsid w:val="00036BC1"/>
    <w:rsid w:val="00052488"/>
    <w:rsid w:val="00061CFE"/>
    <w:rsid w:val="000714D3"/>
    <w:rsid w:val="00073EEC"/>
    <w:rsid w:val="00095160"/>
    <w:rsid w:val="000F1869"/>
    <w:rsid w:val="0010479E"/>
    <w:rsid w:val="001055FC"/>
    <w:rsid w:val="00110DB4"/>
    <w:rsid w:val="001144C0"/>
    <w:rsid w:val="00114900"/>
    <w:rsid w:val="0012106B"/>
    <w:rsid w:val="00134451"/>
    <w:rsid w:val="0013730B"/>
    <w:rsid w:val="00144DBB"/>
    <w:rsid w:val="00154278"/>
    <w:rsid w:val="00156B9A"/>
    <w:rsid w:val="00182231"/>
    <w:rsid w:val="00194060"/>
    <w:rsid w:val="001A0998"/>
    <w:rsid w:val="001A3B1F"/>
    <w:rsid w:val="001A592E"/>
    <w:rsid w:val="001B1EDA"/>
    <w:rsid w:val="001B41BC"/>
    <w:rsid w:val="001D262F"/>
    <w:rsid w:val="001D2FE2"/>
    <w:rsid w:val="001D6B37"/>
    <w:rsid w:val="001E445D"/>
    <w:rsid w:val="001E77AD"/>
    <w:rsid w:val="001F3658"/>
    <w:rsid w:val="001F5FE9"/>
    <w:rsid w:val="001F6BDB"/>
    <w:rsid w:val="00207606"/>
    <w:rsid w:val="002118D0"/>
    <w:rsid w:val="00214D34"/>
    <w:rsid w:val="00216172"/>
    <w:rsid w:val="002200BB"/>
    <w:rsid w:val="002400A7"/>
    <w:rsid w:val="00243C40"/>
    <w:rsid w:val="002813B4"/>
    <w:rsid w:val="002922F9"/>
    <w:rsid w:val="002A35C1"/>
    <w:rsid w:val="002A50E5"/>
    <w:rsid w:val="002A773F"/>
    <w:rsid w:val="002C4FE4"/>
    <w:rsid w:val="002D0DD4"/>
    <w:rsid w:val="002D38FA"/>
    <w:rsid w:val="002E2ADA"/>
    <w:rsid w:val="002E6A65"/>
    <w:rsid w:val="00321D48"/>
    <w:rsid w:val="003355AE"/>
    <w:rsid w:val="00337F8E"/>
    <w:rsid w:val="003617F4"/>
    <w:rsid w:val="0036489E"/>
    <w:rsid w:val="003674E9"/>
    <w:rsid w:val="00371666"/>
    <w:rsid w:val="00387D24"/>
    <w:rsid w:val="003A288D"/>
    <w:rsid w:val="003A34EB"/>
    <w:rsid w:val="003B6193"/>
    <w:rsid w:val="003C2C5D"/>
    <w:rsid w:val="003F3A13"/>
    <w:rsid w:val="00405170"/>
    <w:rsid w:val="0041516D"/>
    <w:rsid w:val="0041616C"/>
    <w:rsid w:val="004414E4"/>
    <w:rsid w:val="00447D2C"/>
    <w:rsid w:val="00455F15"/>
    <w:rsid w:val="004631EA"/>
    <w:rsid w:val="00475579"/>
    <w:rsid w:val="00484322"/>
    <w:rsid w:val="004A0B48"/>
    <w:rsid w:val="004A3F4E"/>
    <w:rsid w:val="004A739D"/>
    <w:rsid w:val="004B767B"/>
    <w:rsid w:val="004C31B1"/>
    <w:rsid w:val="005144C9"/>
    <w:rsid w:val="005152E4"/>
    <w:rsid w:val="005218BB"/>
    <w:rsid w:val="00540D38"/>
    <w:rsid w:val="005449BA"/>
    <w:rsid w:val="0055668C"/>
    <w:rsid w:val="00577A3A"/>
    <w:rsid w:val="0058122A"/>
    <w:rsid w:val="005A2E7F"/>
    <w:rsid w:val="005B35D5"/>
    <w:rsid w:val="005C0121"/>
    <w:rsid w:val="005C3C65"/>
    <w:rsid w:val="005C61B5"/>
    <w:rsid w:val="005D373A"/>
    <w:rsid w:val="005E3173"/>
    <w:rsid w:val="00620F14"/>
    <w:rsid w:val="006317D9"/>
    <w:rsid w:val="006406F9"/>
    <w:rsid w:val="006416DA"/>
    <w:rsid w:val="0065091C"/>
    <w:rsid w:val="00650D2A"/>
    <w:rsid w:val="00673634"/>
    <w:rsid w:val="00676DA7"/>
    <w:rsid w:val="00683721"/>
    <w:rsid w:val="00691705"/>
    <w:rsid w:val="006A43B7"/>
    <w:rsid w:val="006C0135"/>
    <w:rsid w:val="006D61C3"/>
    <w:rsid w:val="006E6EC4"/>
    <w:rsid w:val="007012D0"/>
    <w:rsid w:val="00711F59"/>
    <w:rsid w:val="007136B3"/>
    <w:rsid w:val="0072082B"/>
    <w:rsid w:val="00722B98"/>
    <w:rsid w:val="00727399"/>
    <w:rsid w:val="00746DCF"/>
    <w:rsid w:val="007520A0"/>
    <w:rsid w:val="00752F5F"/>
    <w:rsid w:val="00754F21"/>
    <w:rsid w:val="0077442D"/>
    <w:rsid w:val="0077504B"/>
    <w:rsid w:val="007854E6"/>
    <w:rsid w:val="007960A2"/>
    <w:rsid w:val="007C4652"/>
    <w:rsid w:val="007F4C95"/>
    <w:rsid w:val="008104C6"/>
    <w:rsid w:val="00811016"/>
    <w:rsid w:val="008138B2"/>
    <w:rsid w:val="00814386"/>
    <w:rsid w:val="0081549A"/>
    <w:rsid w:val="008165C9"/>
    <w:rsid w:val="00820514"/>
    <w:rsid w:val="00820BFB"/>
    <w:rsid w:val="008426D4"/>
    <w:rsid w:val="0084390B"/>
    <w:rsid w:val="00847C81"/>
    <w:rsid w:val="008536D8"/>
    <w:rsid w:val="00867DB8"/>
    <w:rsid w:val="00883925"/>
    <w:rsid w:val="008A02A8"/>
    <w:rsid w:val="008A0FCB"/>
    <w:rsid w:val="008C25BC"/>
    <w:rsid w:val="008D0FE8"/>
    <w:rsid w:val="008E027D"/>
    <w:rsid w:val="008E2471"/>
    <w:rsid w:val="00905B60"/>
    <w:rsid w:val="00910F73"/>
    <w:rsid w:val="009151E8"/>
    <w:rsid w:val="009303BA"/>
    <w:rsid w:val="00960A9B"/>
    <w:rsid w:val="00965DF3"/>
    <w:rsid w:val="009677B1"/>
    <w:rsid w:val="009707DB"/>
    <w:rsid w:val="009762CB"/>
    <w:rsid w:val="00982F6F"/>
    <w:rsid w:val="00984974"/>
    <w:rsid w:val="009A1232"/>
    <w:rsid w:val="009A47FD"/>
    <w:rsid w:val="009B263F"/>
    <w:rsid w:val="009B7D3B"/>
    <w:rsid w:val="009E03A3"/>
    <w:rsid w:val="009E1FF7"/>
    <w:rsid w:val="009E7146"/>
    <w:rsid w:val="009F2034"/>
    <w:rsid w:val="00A03539"/>
    <w:rsid w:val="00A25FA3"/>
    <w:rsid w:val="00A33003"/>
    <w:rsid w:val="00A35C02"/>
    <w:rsid w:val="00A47D32"/>
    <w:rsid w:val="00A64944"/>
    <w:rsid w:val="00A77DF1"/>
    <w:rsid w:val="00A808BC"/>
    <w:rsid w:val="00A82CFE"/>
    <w:rsid w:val="00A84EE9"/>
    <w:rsid w:val="00A91A8F"/>
    <w:rsid w:val="00AB40EA"/>
    <w:rsid w:val="00AB60D0"/>
    <w:rsid w:val="00AC6295"/>
    <w:rsid w:val="00AE2E45"/>
    <w:rsid w:val="00AE7283"/>
    <w:rsid w:val="00AF0741"/>
    <w:rsid w:val="00AF6E8B"/>
    <w:rsid w:val="00B13B09"/>
    <w:rsid w:val="00B22EF7"/>
    <w:rsid w:val="00B25EEF"/>
    <w:rsid w:val="00B365A3"/>
    <w:rsid w:val="00B53612"/>
    <w:rsid w:val="00B61C96"/>
    <w:rsid w:val="00B855D2"/>
    <w:rsid w:val="00BA3324"/>
    <w:rsid w:val="00BB797F"/>
    <w:rsid w:val="00BB7E22"/>
    <w:rsid w:val="00BC3089"/>
    <w:rsid w:val="00BC5EBA"/>
    <w:rsid w:val="00C000CF"/>
    <w:rsid w:val="00C01373"/>
    <w:rsid w:val="00C022E8"/>
    <w:rsid w:val="00C02A47"/>
    <w:rsid w:val="00C07345"/>
    <w:rsid w:val="00C1213C"/>
    <w:rsid w:val="00C12338"/>
    <w:rsid w:val="00C1747F"/>
    <w:rsid w:val="00C673EC"/>
    <w:rsid w:val="00C72C1D"/>
    <w:rsid w:val="00C7445E"/>
    <w:rsid w:val="00C747C9"/>
    <w:rsid w:val="00C809CD"/>
    <w:rsid w:val="00C847DC"/>
    <w:rsid w:val="00C97592"/>
    <w:rsid w:val="00CA219B"/>
    <w:rsid w:val="00CB0062"/>
    <w:rsid w:val="00CB1C26"/>
    <w:rsid w:val="00CB6F8A"/>
    <w:rsid w:val="00CC7C29"/>
    <w:rsid w:val="00CE60CA"/>
    <w:rsid w:val="00CF2F22"/>
    <w:rsid w:val="00D43D8F"/>
    <w:rsid w:val="00D64DE9"/>
    <w:rsid w:val="00D6518A"/>
    <w:rsid w:val="00D81100"/>
    <w:rsid w:val="00D84EE7"/>
    <w:rsid w:val="00D86A5D"/>
    <w:rsid w:val="00D92C97"/>
    <w:rsid w:val="00DA0737"/>
    <w:rsid w:val="00DA6E23"/>
    <w:rsid w:val="00DA7A73"/>
    <w:rsid w:val="00DB13D5"/>
    <w:rsid w:val="00DB2E29"/>
    <w:rsid w:val="00DB56F0"/>
    <w:rsid w:val="00DC0FFE"/>
    <w:rsid w:val="00DD3F5B"/>
    <w:rsid w:val="00DE2FFD"/>
    <w:rsid w:val="00E03304"/>
    <w:rsid w:val="00E20582"/>
    <w:rsid w:val="00E268FE"/>
    <w:rsid w:val="00E35E2D"/>
    <w:rsid w:val="00E37DCF"/>
    <w:rsid w:val="00E501C1"/>
    <w:rsid w:val="00E5368A"/>
    <w:rsid w:val="00E71DD6"/>
    <w:rsid w:val="00E967E0"/>
    <w:rsid w:val="00EB31AF"/>
    <w:rsid w:val="00ED38F6"/>
    <w:rsid w:val="00EF55ED"/>
    <w:rsid w:val="00F00675"/>
    <w:rsid w:val="00F13D44"/>
    <w:rsid w:val="00F17BF3"/>
    <w:rsid w:val="00F42248"/>
    <w:rsid w:val="00F46472"/>
    <w:rsid w:val="00F473F2"/>
    <w:rsid w:val="00F5729A"/>
    <w:rsid w:val="00F6334E"/>
    <w:rsid w:val="00F6465F"/>
    <w:rsid w:val="00F67B24"/>
    <w:rsid w:val="00F85172"/>
    <w:rsid w:val="00F94625"/>
    <w:rsid w:val="00FA2949"/>
    <w:rsid w:val="00FB1678"/>
    <w:rsid w:val="00FB1DF2"/>
    <w:rsid w:val="00FB33E0"/>
    <w:rsid w:val="00FC4FA4"/>
    <w:rsid w:val="00FC555C"/>
    <w:rsid w:val="00FC7BD1"/>
    <w:rsid w:val="00FD1F22"/>
    <w:rsid w:val="00FD2DF2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6E05-F414-45B2-96A5-0B095043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1019</Words>
  <Characters>5506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27</cp:revision>
  <cp:lastPrinted>2019-04-12T20:50:00Z</cp:lastPrinted>
  <dcterms:created xsi:type="dcterms:W3CDTF">2019-05-21T19:39:00Z</dcterms:created>
  <dcterms:modified xsi:type="dcterms:W3CDTF">2019-10-02T18:02:00Z</dcterms:modified>
</cp:coreProperties>
</file>