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7037C8" w:rsidRDefault="008138B2" w:rsidP="0002610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b/>
          <w:sz w:val="24"/>
          <w:szCs w:val="24"/>
        </w:rPr>
      </w:pPr>
      <w:r w:rsidRPr="007037C8">
        <w:rPr>
          <w:b/>
          <w:sz w:val="24"/>
          <w:szCs w:val="24"/>
        </w:rPr>
        <w:t>PARECER JURÍDICO</w:t>
      </w:r>
    </w:p>
    <w:p w:rsidR="008138B2" w:rsidRPr="007037C8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7037C8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7037C8">
        <w:rPr>
          <w:b/>
          <w:sz w:val="24"/>
          <w:szCs w:val="24"/>
        </w:rPr>
        <w:t>RELATÓRIO</w:t>
      </w:r>
    </w:p>
    <w:p w:rsidR="008138B2" w:rsidRPr="007037C8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742FD6" w:rsidRDefault="00742FD6" w:rsidP="00742FD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Vereador Bosco Ayala apr</w:t>
      </w:r>
      <w:r w:rsidRPr="00E501C1">
        <w:rPr>
          <w:sz w:val="24"/>
          <w:szCs w:val="24"/>
        </w:rPr>
        <w:t xml:space="preserve">esentou o Projeto de Lei nº </w:t>
      </w:r>
      <w:r>
        <w:rPr>
          <w:sz w:val="24"/>
          <w:szCs w:val="24"/>
        </w:rPr>
        <w:t xml:space="preserve">090/2019 </w:t>
      </w:r>
      <w:r w:rsidRPr="00E501C1">
        <w:rPr>
          <w:sz w:val="24"/>
          <w:szCs w:val="24"/>
        </w:rPr>
        <w:t>à Câmara M</w:t>
      </w:r>
      <w:r w:rsidRPr="00E501C1">
        <w:rPr>
          <w:sz w:val="24"/>
          <w:szCs w:val="24"/>
        </w:rPr>
        <w:t>u</w:t>
      </w:r>
      <w:r w:rsidRPr="00E501C1">
        <w:rPr>
          <w:sz w:val="24"/>
          <w:szCs w:val="24"/>
        </w:rPr>
        <w:t xml:space="preserve">nicipal, </w:t>
      </w:r>
      <w:r>
        <w:rPr>
          <w:sz w:val="24"/>
          <w:szCs w:val="24"/>
        </w:rPr>
        <w:t>objetivando instituir o programa “Blitz Escolares”. A proposta foi encaminhada à Procuradoria pela Presidência da Câmara para análise nos termos do artigo 105 do Regime</w:t>
      </w:r>
      <w:r>
        <w:rPr>
          <w:sz w:val="24"/>
          <w:szCs w:val="24"/>
        </w:rPr>
        <w:t>n</w:t>
      </w:r>
      <w:r>
        <w:rPr>
          <w:sz w:val="24"/>
          <w:szCs w:val="24"/>
        </w:rPr>
        <w:t>to Interno.</w:t>
      </w:r>
      <w:r w:rsidR="003D58C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Após </w:t>
      </w:r>
      <w:r w:rsidR="003D58CA">
        <w:rPr>
          <w:sz w:val="24"/>
          <w:szCs w:val="24"/>
        </w:rPr>
        <w:t xml:space="preserve">os </w:t>
      </w:r>
      <w:r>
        <w:rPr>
          <w:sz w:val="24"/>
          <w:szCs w:val="24"/>
        </w:rPr>
        <w:t>pareceres das comissões permanentes, a propos</w:t>
      </w:r>
      <w:r w:rsidR="003D58CA">
        <w:rPr>
          <w:sz w:val="24"/>
          <w:szCs w:val="24"/>
        </w:rPr>
        <w:t xml:space="preserve">ta </w:t>
      </w:r>
      <w:r>
        <w:rPr>
          <w:sz w:val="24"/>
          <w:szCs w:val="24"/>
        </w:rPr>
        <w:t>foi aprovada em se</w:t>
      </w:r>
      <w:r>
        <w:rPr>
          <w:sz w:val="24"/>
          <w:szCs w:val="24"/>
        </w:rPr>
        <w:t>s</w:t>
      </w:r>
      <w:r>
        <w:rPr>
          <w:sz w:val="24"/>
          <w:szCs w:val="24"/>
        </w:rPr>
        <w:t>são plenária, a qual, todavia, r</w:t>
      </w:r>
      <w:r w:rsidR="003D58CA">
        <w:rPr>
          <w:sz w:val="24"/>
          <w:szCs w:val="24"/>
        </w:rPr>
        <w:t xml:space="preserve">ecebeu veto total pelo Chefe do </w:t>
      </w:r>
      <w:r>
        <w:rPr>
          <w:sz w:val="24"/>
          <w:szCs w:val="24"/>
        </w:rPr>
        <w:t>Executivo, remetido para an</w:t>
      </w:r>
      <w:r>
        <w:rPr>
          <w:sz w:val="24"/>
          <w:szCs w:val="24"/>
        </w:rPr>
        <w:t>á</w:t>
      </w:r>
      <w:r>
        <w:rPr>
          <w:sz w:val="24"/>
          <w:szCs w:val="24"/>
        </w:rPr>
        <w:t>lise juríd</w:t>
      </w:r>
      <w:r>
        <w:rPr>
          <w:sz w:val="24"/>
          <w:szCs w:val="24"/>
        </w:rPr>
        <w:t>i</w:t>
      </w:r>
      <w:r>
        <w:rPr>
          <w:sz w:val="24"/>
          <w:szCs w:val="24"/>
        </w:rPr>
        <w:t>ca</w:t>
      </w:r>
      <w:r w:rsidR="003D58CA">
        <w:rPr>
          <w:sz w:val="24"/>
          <w:szCs w:val="24"/>
        </w:rPr>
        <w:t xml:space="preserve"> deste órgão</w:t>
      </w:r>
      <w:r>
        <w:rPr>
          <w:sz w:val="24"/>
          <w:szCs w:val="24"/>
        </w:rPr>
        <w:t>.</w:t>
      </w:r>
    </w:p>
    <w:p w:rsidR="008030C6" w:rsidRDefault="008030C6" w:rsidP="0018718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030C6" w:rsidRDefault="008030C6" w:rsidP="008030C6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FUNÇÕES DA PROCURADORIA JURÍDICA</w:t>
      </w:r>
    </w:p>
    <w:p w:rsidR="008030C6" w:rsidRDefault="008030C6" w:rsidP="008030C6">
      <w:pPr>
        <w:spacing w:after="0" w:line="360" w:lineRule="auto"/>
        <w:jc w:val="both"/>
        <w:rPr>
          <w:rFonts w:cs="Times New Roman"/>
          <w:b/>
          <w:sz w:val="24"/>
          <w:szCs w:val="24"/>
        </w:rPr>
      </w:pPr>
    </w:p>
    <w:p w:rsidR="008030C6" w:rsidRDefault="008030C6" w:rsidP="008030C6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 Procuradoria Jurídica da Câmara de Guaíba, órgão consultivo com previsão no art. 3º da Lei Municipal nº 3.687/18, exerce as funções de assessoramento jurídico e de or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</w:rPr>
        <w:t>entação da Mesa Diretora, da Presidência da Casa e dos setores legislativos, através da emi</w:t>
      </w:r>
      <w:r>
        <w:rPr>
          <w:rFonts w:cs="Times New Roman"/>
          <w:sz w:val="24"/>
          <w:szCs w:val="24"/>
        </w:rPr>
        <w:t>s</w:t>
      </w:r>
      <w:r>
        <w:rPr>
          <w:rFonts w:cs="Times New Roman"/>
          <w:sz w:val="24"/>
          <w:szCs w:val="24"/>
        </w:rPr>
        <w:t>são de pareceres escritos e verbais, bem como de opiniões fundamentadas objetivando a tomada de decisões, por meio de reuniões, de manifestações escritas e de aconselhame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</w:rPr>
        <w:t xml:space="preserve">tos. Trata-se de órgão público que, embora </w:t>
      </w:r>
      <w:r w:rsidRPr="008030C6">
        <w:rPr>
          <w:rFonts w:cs="Times New Roman"/>
          <w:sz w:val="24"/>
          <w:szCs w:val="24"/>
          <w:u w:val="single"/>
        </w:rPr>
        <w:t>não detenha competência decisória</w:t>
      </w:r>
      <w:r>
        <w:rPr>
          <w:rFonts w:cs="Times New Roman"/>
          <w:sz w:val="24"/>
          <w:szCs w:val="24"/>
        </w:rPr>
        <w:t>, orienta jur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</w:rPr>
        <w:t xml:space="preserve">dicamente o gestor público e os setores legislativos, </w:t>
      </w:r>
      <w:r w:rsidRPr="008030C6">
        <w:rPr>
          <w:rFonts w:cs="Times New Roman"/>
          <w:sz w:val="24"/>
          <w:szCs w:val="24"/>
          <w:u w:val="single"/>
        </w:rPr>
        <w:t>sem caráter vinculante.</w:t>
      </w:r>
    </w:p>
    <w:p w:rsidR="008030C6" w:rsidRDefault="008030C6" w:rsidP="008030C6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8030C6" w:rsidRDefault="008030C6" w:rsidP="008030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Os pareceres jurídicos são atos resultantes do exercício da função consultiva de</w:t>
      </w:r>
      <w:r>
        <w:rPr>
          <w:sz w:val="24"/>
          <w:szCs w:val="24"/>
        </w:rPr>
        <w:t>s</w:t>
      </w:r>
      <w:r>
        <w:rPr>
          <w:sz w:val="24"/>
          <w:szCs w:val="24"/>
        </w:rPr>
        <w:t>ta Procuradoria Jurídica, no sentido de alertar para eventuais inconformidades que possam estar presentes. Conforme leciona Hely Lopes Meirelles</w:t>
      </w:r>
      <w:r w:rsidRPr="00584F61">
        <w:rPr>
          <w:sz w:val="24"/>
          <w:szCs w:val="24"/>
        </w:rPr>
        <w:t xml:space="preserve"> </w:t>
      </w:r>
      <w:r>
        <w:rPr>
          <w:sz w:val="24"/>
          <w:szCs w:val="24"/>
        </w:rPr>
        <w:t>na obra Direito Administrativo Bras</w:t>
      </w:r>
      <w:r>
        <w:rPr>
          <w:sz w:val="24"/>
          <w:szCs w:val="24"/>
        </w:rPr>
        <w:t>i</w:t>
      </w:r>
      <w:r>
        <w:rPr>
          <w:sz w:val="24"/>
          <w:szCs w:val="24"/>
        </w:rPr>
        <w:t xml:space="preserve">leiro, 41ª ed., Malheiros Editores: São Paulo, 2015, p. 204, </w:t>
      </w:r>
      <w:r w:rsidRPr="008030C6">
        <w:rPr>
          <w:b/>
          <w:sz w:val="24"/>
          <w:szCs w:val="24"/>
        </w:rPr>
        <w:t>“O parecer tem caráter mer</w:t>
      </w:r>
      <w:r w:rsidRPr="008030C6">
        <w:rPr>
          <w:b/>
          <w:sz w:val="24"/>
          <w:szCs w:val="24"/>
        </w:rPr>
        <w:t>a</w:t>
      </w:r>
      <w:r w:rsidRPr="008030C6">
        <w:rPr>
          <w:b/>
          <w:sz w:val="24"/>
          <w:szCs w:val="24"/>
        </w:rPr>
        <w:t>mente opinativo, não vinculando a Administração ou os particulares à sua motivação ou conclusões, salvo se aprovado por ato subsequente. Já, então, o que subsiste como ato administrativo não é o parecer, mas, sim, o ato de sua aprovação, que poderá revestir a modalidade normativa, ordinatória, negocial ou punitiva</w:t>
      </w:r>
      <w:r w:rsidR="00713C51">
        <w:rPr>
          <w:b/>
          <w:sz w:val="24"/>
          <w:szCs w:val="24"/>
        </w:rPr>
        <w:t>”.</w:t>
      </w:r>
    </w:p>
    <w:p w:rsidR="008030C6" w:rsidRDefault="008030C6" w:rsidP="008030C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030C6" w:rsidRPr="00BF24E2" w:rsidRDefault="008030C6" w:rsidP="008030C6">
      <w:pPr>
        <w:spacing w:after="0" w:line="360" w:lineRule="auto"/>
        <w:ind w:firstLine="1134"/>
        <w:jc w:val="both"/>
        <w:rPr>
          <w:rFonts w:cs="Times New Roman"/>
          <w:b/>
          <w:sz w:val="24"/>
          <w:szCs w:val="24"/>
        </w:rPr>
      </w:pPr>
      <w:r>
        <w:rPr>
          <w:sz w:val="24"/>
          <w:szCs w:val="24"/>
        </w:rPr>
        <w:lastRenderedPageBreak/>
        <w:t xml:space="preserve">Desse modo, a função consultiva desempenhada por esta Procuradoria com base no art. 3º da Lei Municipal nº 3.687/18 – que dispõe sobre a organização administrativa da Câmara Municipal de Guaíba – </w:t>
      </w:r>
      <w:r w:rsidRPr="00BF24E2">
        <w:rPr>
          <w:b/>
          <w:sz w:val="24"/>
          <w:szCs w:val="24"/>
        </w:rPr>
        <w:t>não é vinculante</w:t>
      </w:r>
      <w:r>
        <w:rPr>
          <w:sz w:val="24"/>
          <w:szCs w:val="24"/>
        </w:rPr>
        <w:t xml:space="preserve">, motivo pelo qual </w:t>
      </w:r>
      <w:r w:rsidRPr="008030C6">
        <w:rPr>
          <w:sz w:val="24"/>
          <w:szCs w:val="24"/>
          <w:u w:val="single"/>
        </w:rPr>
        <w:t>é possível, se for o caso, que os agentes políticos formem suas próprias convicções em discordância com as opiniões manifestadas por meio do parecer jurídico.</w:t>
      </w:r>
    </w:p>
    <w:p w:rsidR="00BE5906" w:rsidRDefault="00BE5906" w:rsidP="00BE590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Default="007037C8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7037C8">
        <w:rPr>
          <w:b/>
          <w:sz w:val="24"/>
          <w:szCs w:val="24"/>
        </w:rPr>
        <w:t>MÉRITO</w:t>
      </w:r>
    </w:p>
    <w:p w:rsidR="002D6E85" w:rsidRPr="002D6E85" w:rsidRDefault="002D6E85" w:rsidP="002D6E85">
      <w:pPr>
        <w:spacing w:after="0" w:line="360" w:lineRule="auto"/>
        <w:ind w:left="113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3.1 DAS ESPÉCIES DE VETO</w:t>
      </w:r>
    </w:p>
    <w:p w:rsidR="008138B2" w:rsidRPr="007037C8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1F7088" w:rsidRDefault="002D6E85" w:rsidP="002D6E85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Constituição Federal de 1988</w:t>
      </w:r>
      <w:r w:rsidR="001F7088">
        <w:rPr>
          <w:sz w:val="24"/>
          <w:szCs w:val="24"/>
        </w:rPr>
        <w:t>, a partir do art. 59 até o art. 69,</w:t>
      </w:r>
      <w:r>
        <w:rPr>
          <w:sz w:val="24"/>
          <w:szCs w:val="24"/>
        </w:rPr>
        <w:t xml:space="preserve"> estabelece no</w:t>
      </w:r>
      <w:r>
        <w:rPr>
          <w:sz w:val="24"/>
          <w:szCs w:val="24"/>
        </w:rPr>
        <w:t>r</w:t>
      </w:r>
      <w:r>
        <w:rPr>
          <w:sz w:val="24"/>
          <w:szCs w:val="24"/>
        </w:rPr>
        <w:t>mas relativas ao processo de cria</w:t>
      </w:r>
      <w:r w:rsidR="001F7088">
        <w:rPr>
          <w:sz w:val="24"/>
          <w:szCs w:val="24"/>
        </w:rPr>
        <w:t>ção legislativa, as quais, segundo interpretação do Supremo Tribunal Federal, são de reprodução/repetição obrigatória pelos entes federados:</w:t>
      </w:r>
    </w:p>
    <w:p w:rsidR="001F7088" w:rsidRDefault="001F7088" w:rsidP="002D6E8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F7088" w:rsidRPr="001F7088" w:rsidRDefault="001F7088" w:rsidP="001F7088">
      <w:pPr>
        <w:spacing w:after="0" w:line="240" w:lineRule="auto"/>
        <w:ind w:left="2268"/>
        <w:jc w:val="both"/>
        <w:rPr>
          <w:sz w:val="20"/>
          <w:szCs w:val="20"/>
        </w:rPr>
      </w:pPr>
      <w:r w:rsidRPr="001F7088">
        <w:rPr>
          <w:sz w:val="20"/>
          <w:szCs w:val="20"/>
        </w:rPr>
        <w:t>Agravo regimental no recurso extraordinário. Constitucional. Representação de i</w:t>
      </w:r>
      <w:r w:rsidRPr="001F7088">
        <w:rPr>
          <w:sz w:val="20"/>
          <w:szCs w:val="20"/>
        </w:rPr>
        <w:t>n</w:t>
      </w:r>
      <w:r w:rsidRPr="001F7088">
        <w:rPr>
          <w:sz w:val="20"/>
          <w:szCs w:val="20"/>
        </w:rPr>
        <w:t>constitucionalidade de lei municipal em face de Constituição Estadual. Processo l</w:t>
      </w:r>
      <w:r w:rsidRPr="001F7088">
        <w:rPr>
          <w:sz w:val="20"/>
          <w:szCs w:val="20"/>
        </w:rPr>
        <w:t>e</w:t>
      </w:r>
      <w:r w:rsidRPr="001F7088">
        <w:rPr>
          <w:sz w:val="20"/>
          <w:szCs w:val="20"/>
        </w:rPr>
        <w:t xml:space="preserve">gislativo. </w:t>
      </w:r>
      <w:r w:rsidRPr="001F7088">
        <w:rPr>
          <w:b/>
          <w:sz w:val="20"/>
          <w:szCs w:val="20"/>
        </w:rPr>
        <w:t>Normas de reprodução obrigatória</w:t>
      </w:r>
      <w:r w:rsidRPr="001F7088">
        <w:rPr>
          <w:sz w:val="20"/>
          <w:szCs w:val="20"/>
        </w:rPr>
        <w:t>. Criação de órgãos públicos. Comp</w:t>
      </w:r>
      <w:r w:rsidRPr="001F7088">
        <w:rPr>
          <w:sz w:val="20"/>
          <w:szCs w:val="20"/>
        </w:rPr>
        <w:t>e</w:t>
      </w:r>
      <w:r w:rsidRPr="001F7088">
        <w:rPr>
          <w:sz w:val="20"/>
          <w:szCs w:val="20"/>
        </w:rPr>
        <w:t xml:space="preserve">tência do Chefe do Poder Executivo. Iniciativa parlamentar. Inconstitucionalidade formal. Precedentes. </w:t>
      </w:r>
      <w:r w:rsidRPr="001F7088">
        <w:rPr>
          <w:b/>
          <w:sz w:val="20"/>
          <w:szCs w:val="20"/>
        </w:rPr>
        <w:t>1. A orientação deste Tribunal é de que as normas que r</w:t>
      </w:r>
      <w:r w:rsidRPr="001F7088">
        <w:rPr>
          <w:b/>
          <w:sz w:val="20"/>
          <w:szCs w:val="20"/>
        </w:rPr>
        <w:t>e</w:t>
      </w:r>
      <w:r w:rsidRPr="001F7088">
        <w:rPr>
          <w:b/>
          <w:sz w:val="20"/>
          <w:szCs w:val="20"/>
        </w:rPr>
        <w:t>gem o processo legislativo previstas na Constituição Federal são de reprodução obrigatória pelas Constituições dos Estados-membros, que a elas devem obediê</w:t>
      </w:r>
      <w:r w:rsidRPr="001F7088">
        <w:rPr>
          <w:b/>
          <w:sz w:val="20"/>
          <w:szCs w:val="20"/>
        </w:rPr>
        <w:t>n</w:t>
      </w:r>
      <w:r w:rsidRPr="001F7088">
        <w:rPr>
          <w:b/>
          <w:sz w:val="20"/>
          <w:szCs w:val="20"/>
        </w:rPr>
        <w:t>cia, sob pena de incorrerem em vício insanável de inconstitucionalidade.</w:t>
      </w:r>
      <w:r w:rsidRPr="001F7088">
        <w:rPr>
          <w:sz w:val="20"/>
          <w:szCs w:val="20"/>
        </w:rPr>
        <w:t xml:space="preserve"> [...] (RE 505476 AgR, Relator:  Min. DIAS TOFFOLI, Primeira Turma, julgado em 21/08/2012, ACÓRDÃO ELETRÔNICO DJe-176 DIVULG 05-09-2012 PUBLIC 06-09-2012).</w:t>
      </w:r>
    </w:p>
    <w:p w:rsidR="001F7088" w:rsidRDefault="001F7088" w:rsidP="002D6E8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F7088" w:rsidRDefault="001F7088" w:rsidP="002D6E85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No art. 66, § 1º, da Constituição Federal de 1988, há regramento acerca do poder de veto pelo Chefe do Poder Executivo, nos seguintes termos:</w:t>
      </w:r>
    </w:p>
    <w:p w:rsidR="002D6E85" w:rsidRDefault="002D6E85" w:rsidP="002D6E8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D6E85" w:rsidRPr="001F7088" w:rsidRDefault="002D6E85" w:rsidP="002D6E85">
      <w:pPr>
        <w:spacing w:after="0" w:line="240" w:lineRule="auto"/>
        <w:ind w:left="2268"/>
        <w:jc w:val="both"/>
        <w:rPr>
          <w:sz w:val="20"/>
          <w:szCs w:val="20"/>
        </w:rPr>
      </w:pPr>
      <w:r w:rsidRPr="001F7088">
        <w:rPr>
          <w:sz w:val="20"/>
          <w:szCs w:val="20"/>
        </w:rPr>
        <w:t>Art. 66. (...)</w:t>
      </w:r>
    </w:p>
    <w:p w:rsidR="002D6E85" w:rsidRPr="001F7088" w:rsidRDefault="002D6E85" w:rsidP="002D6E85">
      <w:pPr>
        <w:spacing w:after="0" w:line="240" w:lineRule="auto"/>
        <w:ind w:left="2268"/>
        <w:jc w:val="both"/>
        <w:rPr>
          <w:sz w:val="20"/>
          <w:szCs w:val="20"/>
        </w:rPr>
      </w:pPr>
      <w:r w:rsidRPr="001F7088">
        <w:rPr>
          <w:sz w:val="20"/>
          <w:szCs w:val="20"/>
        </w:rPr>
        <w:t xml:space="preserve">§ 1º Se o Presidente da República considerar o projeto, no todo ou em parte, </w:t>
      </w:r>
      <w:r w:rsidRPr="001F7088">
        <w:rPr>
          <w:b/>
          <w:sz w:val="20"/>
          <w:szCs w:val="20"/>
        </w:rPr>
        <w:t>i</w:t>
      </w:r>
      <w:r w:rsidRPr="001F7088">
        <w:rPr>
          <w:b/>
          <w:sz w:val="20"/>
          <w:szCs w:val="20"/>
        </w:rPr>
        <w:t>n</w:t>
      </w:r>
      <w:r w:rsidRPr="001F7088">
        <w:rPr>
          <w:b/>
          <w:sz w:val="20"/>
          <w:szCs w:val="20"/>
        </w:rPr>
        <w:t>constitucional ou contrário ao interesse público</w:t>
      </w:r>
      <w:r w:rsidRPr="001F7088">
        <w:rPr>
          <w:sz w:val="20"/>
          <w:szCs w:val="20"/>
        </w:rPr>
        <w:t>, vetá-lo-á total ou parcialmente, no prazo de quinze dias úteis, contados da data do recebimento, e comunicará, dentro de quarenta e oito horas, ao Presidente do Senado Federal os motivos do veto.</w:t>
      </w:r>
    </w:p>
    <w:p w:rsidR="002D6E85" w:rsidRDefault="002D6E85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F7088" w:rsidRDefault="001F7088" w:rsidP="00A169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Como se nota, o dispositivo constitucional menciona a possibilidade de o Chefe do Poder Executivo vetar as proposições legislativas </w:t>
      </w:r>
      <w:r w:rsidR="00987C71">
        <w:rPr>
          <w:sz w:val="24"/>
          <w:szCs w:val="24"/>
        </w:rPr>
        <w:t>por</w:t>
      </w:r>
      <w:r>
        <w:rPr>
          <w:sz w:val="24"/>
          <w:szCs w:val="24"/>
        </w:rPr>
        <w:t xml:space="preserve"> </w:t>
      </w:r>
      <w:r w:rsidRPr="001F7088">
        <w:rPr>
          <w:b/>
          <w:sz w:val="24"/>
          <w:szCs w:val="24"/>
        </w:rPr>
        <w:t>razões jurídicas</w:t>
      </w:r>
      <w:r>
        <w:rPr>
          <w:sz w:val="24"/>
          <w:szCs w:val="24"/>
        </w:rPr>
        <w:t xml:space="preserve"> ou de </w:t>
      </w:r>
      <w:r w:rsidRPr="001F7088">
        <w:rPr>
          <w:b/>
          <w:sz w:val="24"/>
          <w:szCs w:val="24"/>
        </w:rPr>
        <w:t>interesse público</w:t>
      </w:r>
      <w:r>
        <w:rPr>
          <w:sz w:val="24"/>
          <w:szCs w:val="24"/>
        </w:rPr>
        <w:t>. No primeiro caso, o veto se fundamenta em possível inconstitucionalidade de nat</w:t>
      </w:r>
      <w:r>
        <w:rPr>
          <w:sz w:val="24"/>
          <w:szCs w:val="24"/>
        </w:rPr>
        <w:t>u</w:t>
      </w:r>
      <w:r>
        <w:rPr>
          <w:sz w:val="24"/>
          <w:szCs w:val="24"/>
        </w:rPr>
        <w:t xml:space="preserve">reza formal ou material, que pode prejudicar o projeto de lei na sua integralidade ou apenas </w:t>
      </w:r>
      <w:r>
        <w:rPr>
          <w:sz w:val="24"/>
          <w:szCs w:val="24"/>
        </w:rPr>
        <w:lastRenderedPageBreak/>
        <w:t>parcialmente. O veto parcial, na dicção do § 2º do art. 66 da CF/88, abrange texto integral de artigo, de parágrafo, de inciso ou de alínea.</w:t>
      </w:r>
      <w:r w:rsidR="008D4CD9">
        <w:rPr>
          <w:sz w:val="24"/>
          <w:szCs w:val="24"/>
        </w:rPr>
        <w:t xml:space="preserve"> No segundo caso, o veto se fundamenta em i</w:t>
      </w:r>
      <w:r w:rsidR="008D4CD9">
        <w:rPr>
          <w:sz w:val="24"/>
          <w:szCs w:val="24"/>
        </w:rPr>
        <w:t>n</w:t>
      </w:r>
      <w:r w:rsidR="008D4CD9">
        <w:rPr>
          <w:sz w:val="24"/>
          <w:szCs w:val="24"/>
        </w:rPr>
        <w:t>conveniência ao interesse público, pelo fato de a proposição não representar, efetivamente, as legítimas expectativas e interesses da coletividade.</w:t>
      </w:r>
    </w:p>
    <w:p w:rsidR="001F7088" w:rsidRDefault="001F7088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D4CD9" w:rsidRDefault="008D4CD9" w:rsidP="008D4CD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Dessa forma</w:t>
      </w:r>
      <w:r w:rsidR="001F7088">
        <w:rPr>
          <w:sz w:val="24"/>
          <w:szCs w:val="24"/>
        </w:rPr>
        <w:t>, exsurgem, da Constituição Federal</w:t>
      </w:r>
      <w:r>
        <w:rPr>
          <w:sz w:val="24"/>
          <w:szCs w:val="24"/>
        </w:rPr>
        <w:t xml:space="preserve"> de 1988</w:t>
      </w:r>
      <w:r w:rsidR="001F7088">
        <w:rPr>
          <w:sz w:val="24"/>
          <w:szCs w:val="24"/>
        </w:rPr>
        <w:t xml:space="preserve">, os </w:t>
      </w:r>
      <w:r w:rsidR="001F7088">
        <w:rPr>
          <w:b/>
          <w:sz w:val="24"/>
          <w:szCs w:val="24"/>
        </w:rPr>
        <w:t>vetos jurídico e p</w:t>
      </w:r>
      <w:r w:rsidR="001F7088">
        <w:rPr>
          <w:b/>
          <w:sz w:val="24"/>
          <w:szCs w:val="24"/>
        </w:rPr>
        <w:t>o</w:t>
      </w:r>
      <w:r w:rsidR="001F7088">
        <w:rPr>
          <w:b/>
          <w:sz w:val="24"/>
          <w:szCs w:val="24"/>
        </w:rPr>
        <w:t>lítico</w:t>
      </w:r>
      <w:r w:rsidR="001F7088">
        <w:rPr>
          <w:sz w:val="24"/>
          <w:szCs w:val="24"/>
        </w:rPr>
        <w:t xml:space="preserve">, sendo o primeiro </w:t>
      </w:r>
      <w:r>
        <w:rPr>
          <w:sz w:val="24"/>
          <w:szCs w:val="24"/>
        </w:rPr>
        <w:t>relacionado a inconstitucionalidades formais ou materiais e o segu</w:t>
      </w:r>
      <w:r>
        <w:rPr>
          <w:sz w:val="24"/>
          <w:szCs w:val="24"/>
        </w:rPr>
        <w:t>n</w:t>
      </w:r>
      <w:r>
        <w:rPr>
          <w:sz w:val="24"/>
          <w:szCs w:val="24"/>
        </w:rPr>
        <w:t>do relacionado à falta de interesse público. Nesses termos, considerando o disposto no art. 3º da Lei Municipal nº 3.687/2018, compete a esta Procuradoria Jurídica orientar os vere</w:t>
      </w:r>
      <w:r>
        <w:rPr>
          <w:sz w:val="24"/>
          <w:szCs w:val="24"/>
        </w:rPr>
        <w:t>a</w:t>
      </w:r>
      <w:r>
        <w:rPr>
          <w:sz w:val="24"/>
          <w:szCs w:val="24"/>
        </w:rPr>
        <w:t>dores apenas quanto aos aspectos jurídicos das proposições, de modo que o presente par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cer jurídico se circunscreverá </w:t>
      </w:r>
      <w:r w:rsidR="00C66A42">
        <w:rPr>
          <w:sz w:val="24"/>
          <w:szCs w:val="24"/>
        </w:rPr>
        <w:t xml:space="preserve">aos elementos que justifiquem </w:t>
      </w:r>
      <w:r w:rsidR="00713C51">
        <w:rPr>
          <w:sz w:val="24"/>
          <w:szCs w:val="24"/>
        </w:rPr>
        <w:t>o veto jurídico.</w:t>
      </w:r>
    </w:p>
    <w:p w:rsidR="00C66A42" w:rsidRDefault="00C66A42" w:rsidP="008D4CD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F7088" w:rsidRDefault="00713C51" w:rsidP="00A169C6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3.2 DO VETO JURÍDICO AO PROJETO DE LEI Nº 090/2019</w:t>
      </w:r>
    </w:p>
    <w:p w:rsidR="00C66A42" w:rsidRDefault="00C66A42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13C51" w:rsidRDefault="00713C51" w:rsidP="00A169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veto jurídico apresentado pelo Chefe do Poder Executivo fundamenta-se na 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xistência de vício formal de inconstitucionalidade no Projeto de Lei nº 090/2019, porquanto </w:t>
      </w:r>
      <w:r w:rsidR="004C4846">
        <w:rPr>
          <w:sz w:val="24"/>
          <w:szCs w:val="24"/>
        </w:rPr>
        <w:t>haveria burla à iniciativa privativa do Prefeito em deflagrar o processo legislativo para est</w:t>
      </w:r>
      <w:r w:rsidR="004C4846">
        <w:rPr>
          <w:sz w:val="24"/>
          <w:szCs w:val="24"/>
        </w:rPr>
        <w:t>a</w:t>
      </w:r>
      <w:r w:rsidR="004C4846">
        <w:rPr>
          <w:sz w:val="24"/>
          <w:szCs w:val="24"/>
        </w:rPr>
        <w:t>belecer a política pública veiculada na proposição.</w:t>
      </w:r>
    </w:p>
    <w:p w:rsidR="004C4846" w:rsidRDefault="004C4846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C4846" w:rsidRDefault="004C4846" w:rsidP="00A169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 parecer jurídico </w:t>
      </w:r>
      <w:r w:rsidR="00624049">
        <w:rPr>
          <w:sz w:val="24"/>
          <w:szCs w:val="24"/>
        </w:rPr>
        <w:t>elaborado</w:t>
      </w:r>
      <w:r>
        <w:rPr>
          <w:sz w:val="24"/>
          <w:szCs w:val="24"/>
        </w:rPr>
        <w:t xml:space="preserve"> pela Procuradoria da Câmara às fls. 04-11 do Pr</w:t>
      </w:r>
      <w:r>
        <w:rPr>
          <w:sz w:val="24"/>
          <w:szCs w:val="24"/>
        </w:rPr>
        <w:t>o</w:t>
      </w:r>
      <w:r>
        <w:rPr>
          <w:sz w:val="24"/>
          <w:szCs w:val="24"/>
        </w:rPr>
        <w:t>jeto de Lei nº 090/19, apresentado também em cópia no veto total às fls. 09-12, consta cl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ramente </w:t>
      </w:r>
      <w:r w:rsidR="005F2E00">
        <w:rPr>
          <w:sz w:val="24"/>
          <w:szCs w:val="24"/>
        </w:rPr>
        <w:t xml:space="preserve">a </w:t>
      </w:r>
      <w:r>
        <w:rPr>
          <w:sz w:val="24"/>
          <w:szCs w:val="24"/>
        </w:rPr>
        <w:t>argumentação que sustenta a existência de correntes distintas na jurisprudência quanto à</w:t>
      </w:r>
      <w:r w:rsidR="005F2E00">
        <w:rPr>
          <w:sz w:val="24"/>
          <w:szCs w:val="24"/>
        </w:rPr>
        <w:t xml:space="preserve"> possibilidade de</w:t>
      </w:r>
      <w:r>
        <w:rPr>
          <w:sz w:val="24"/>
          <w:szCs w:val="24"/>
        </w:rPr>
        <w:t xml:space="preserve"> criação de programas municipais através de projetos de lei de in</w:t>
      </w:r>
      <w:r>
        <w:rPr>
          <w:sz w:val="24"/>
          <w:szCs w:val="24"/>
        </w:rPr>
        <w:t>i</w:t>
      </w:r>
      <w:r>
        <w:rPr>
          <w:sz w:val="24"/>
          <w:szCs w:val="24"/>
        </w:rPr>
        <w:t>ciativa parlamentar. Foram destacados alguns precedentes nos quais o TJRS e o STF julgaram inconst</w:t>
      </w:r>
      <w:r>
        <w:rPr>
          <w:sz w:val="24"/>
          <w:szCs w:val="24"/>
        </w:rPr>
        <w:t>i</w:t>
      </w:r>
      <w:r>
        <w:rPr>
          <w:sz w:val="24"/>
          <w:szCs w:val="24"/>
        </w:rPr>
        <w:t>tucionais leis de iniciativa parlamentar criando políticas públicas e, logo em seguida, precedentes que reconheceram a constitucionalidade de outras leis com propósitos sem</w:t>
      </w:r>
      <w:r>
        <w:rPr>
          <w:sz w:val="24"/>
          <w:szCs w:val="24"/>
        </w:rPr>
        <w:t>e</w:t>
      </w:r>
      <w:r>
        <w:rPr>
          <w:sz w:val="24"/>
          <w:szCs w:val="24"/>
        </w:rPr>
        <w:t>lhantes, diante de uma reinterpretação das regras constitucionais que fixam a iniciativa do processo legisl</w:t>
      </w:r>
      <w:r>
        <w:rPr>
          <w:sz w:val="24"/>
          <w:szCs w:val="24"/>
        </w:rPr>
        <w:t>a</w:t>
      </w:r>
      <w:r>
        <w:rPr>
          <w:sz w:val="24"/>
          <w:szCs w:val="24"/>
        </w:rPr>
        <w:t>tivo (art. 61 da CF/88 e arts. 59 e 60 da CE/RS).</w:t>
      </w:r>
    </w:p>
    <w:p w:rsidR="004C4846" w:rsidRDefault="004C4846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C4846" w:rsidRDefault="004C4846" w:rsidP="00A169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Transcreve-se trecho do parecer jurídico que bem registra a divergência jurispr</w:t>
      </w:r>
      <w:r>
        <w:rPr>
          <w:sz w:val="24"/>
          <w:szCs w:val="24"/>
        </w:rPr>
        <w:t>u</w:t>
      </w:r>
      <w:r>
        <w:rPr>
          <w:sz w:val="24"/>
          <w:szCs w:val="24"/>
        </w:rPr>
        <w:t>dencial sobre os limites da iniciativa parlamentar em projetos de lei sobre programas:</w:t>
      </w:r>
    </w:p>
    <w:p w:rsidR="004C4846" w:rsidRDefault="004C4846" w:rsidP="004C4846">
      <w:pPr>
        <w:spacing w:after="0" w:line="36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w:lastRenderedPageBreak/>
        <w:drawing>
          <wp:inline distT="0" distB="0" distL="0" distR="0">
            <wp:extent cx="5760085" cy="3433445"/>
            <wp:effectExtent l="19050" t="0" r="0" b="0"/>
            <wp:docPr id="1" name="Imagem 0" descr="trecho parecer fernand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echo parecer fernando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43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C51" w:rsidRDefault="00713C51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C4846" w:rsidRDefault="002406C4" w:rsidP="00A169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Destacou-se que as interpretações mais recentes da jurisprudência nacional são no sentido de que as hipóteses de iniciativa privativa do processo legislativo, constantes no art. 61, § 1º, da CF/88 e no art. 60 da CE/RS, são de conteúdo restrito, não se podendo a</w:t>
      </w:r>
      <w:r>
        <w:rPr>
          <w:sz w:val="24"/>
          <w:szCs w:val="24"/>
        </w:rPr>
        <w:t>m</w:t>
      </w:r>
      <w:r>
        <w:rPr>
          <w:sz w:val="24"/>
          <w:szCs w:val="24"/>
        </w:rPr>
        <w:t>pliá-las de tal maneira a impedir a iniciativa parlamentar por somente tratar de assuntos ou políticas ligadas à estrutura do Poder Executivo. Contudo, também se fez menção à existê</w:t>
      </w:r>
      <w:r>
        <w:rPr>
          <w:sz w:val="24"/>
          <w:szCs w:val="24"/>
        </w:rPr>
        <w:t>n</w:t>
      </w:r>
      <w:r>
        <w:rPr>
          <w:sz w:val="24"/>
          <w:szCs w:val="24"/>
        </w:rPr>
        <w:t xml:space="preserve">cia de precedentes do TJRS e do STF </w:t>
      </w:r>
      <w:r w:rsidR="005C1195">
        <w:rPr>
          <w:sz w:val="24"/>
          <w:szCs w:val="24"/>
        </w:rPr>
        <w:t>declarando a inconstitucionalidade de leis similares por uma interpretação mais conservadora das limitações.</w:t>
      </w:r>
    </w:p>
    <w:p w:rsidR="002406C4" w:rsidRDefault="002406C4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C4846" w:rsidRDefault="002406C4" w:rsidP="00A169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por tais razões</w:t>
      </w:r>
      <w:r w:rsidR="005C1195">
        <w:rPr>
          <w:sz w:val="24"/>
          <w:szCs w:val="24"/>
        </w:rPr>
        <w:t xml:space="preserve"> que o parecer jurídico da Procuradoria da Câmara, após elencar todos esses argumentos e inúmeros precedentes, concluiu pela ausência de inconstitucion</w:t>
      </w:r>
      <w:r w:rsidR="005C1195">
        <w:rPr>
          <w:sz w:val="24"/>
          <w:szCs w:val="24"/>
        </w:rPr>
        <w:t>a</w:t>
      </w:r>
      <w:r w:rsidR="005C1195">
        <w:rPr>
          <w:sz w:val="24"/>
          <w:szCs w:val="24"/>
        </w:rPr>
        <w:t xml:space="preserve">lidade </w:t>
      </w:r>
      <w:r w:rsidR="005C1195" w:rsidRPr="005F2E00">
        <w:rPr>
          <w:b/>
          <w:sz w:val="24"/>
          <w:szCs w:val="24"/>
        </w:rPr>
        <w:t>manifesta</w:t>
      </w:r>
      <w:r w:rsidR="005C1195">
        <w:rPr>
          <w:sz w:val="24"/>
          <w:szCs w:val="24"/>
        </w:rPr>
        <w:t xml:space="preserve"> (ou seja, de inconstitucionalidade flagrante e evidente), tendo registr</w:t>
      </w:r>
      <w:r w:rsidR="005C1195">
        <w:rPr>
          <w:sz w:val="24"/>
          <w:szCs w:val="24"/>
        </w:rPr>
        <w:t>a</w:t>
      </w:r>
      <w:r w:rsidR="005C1195">
        <w:rPr>
          <w:sz w:val="24"/>
          <w:szCs w:val="24"/>
        </w:rPr>
        <w:t>do que não havia segurança jurídica que permitisse opinar pela constitucionalidade, justamente pela existência de divergências jurisprudenciais.</w:t>
      </w:r>
    </w:p>
    <w:p w:rsidR="005C1195" w:rsidRDefault="005C1195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C1195" w:rsidRPr="00432D1C" w:rsidRDefault="005C1195" w:rsidP="00A169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Entretanto, cabe destacar que o parecer jurídico recomendou a adoção de prov</w:t>
      </w:r>
      <w:r>
        <w:rPr>
          <w:sz w:val="24"/>
          <w:szCs w:val="24"/>
        </w:rPr>
        <w:t>i</w:t>
      </w:r>
      <w:r>
        <w:rPr>
          <w:sz w:val="24"/>
          <w:szCs w:val="24"/>
        </w:rPr>
        <w:t>dência que deixou de ser atendida pelo vereador proponente e pelas comissões permane</w:t>
      </w:r>
      <w:r>
        <w:rPr>
          <w:sz w:val="24"/>
          <w:szCs w:val="24"/>
        </w:rPr>
        <w:t>n</w:t>
      </w:r>
      <w:r>
        <w:rPr>
          <w:sz w:val="24"/>
          <w:szCs w:val="24"/>
        </w:rPr>
        <w:t xml:space="preserve">tes da Casa Legislativa: a retirada da referência, no </w:t>
      </w:r>
      <w:r>
        <w:rPr>
          <w:i/>
          <w:sz w:val="24"/>
          <w:szCs w:val="24"/>
        </w:rPr>
        <w:t>caput</w:t>
      </w:r>
      <w:r>
        <w:rPr>
          <w:sz w:val="24"/>
          <w:szCs w:val="24"/>
        </w:rPr>
        <w:t xml:space="preserve"> do art. 1º, à responsabilidade da </w:t>
      </w:r>
      <w:r>
        <w:rPr>
          <w:sz w:val="24"/>
          <w:szCs w:val="24"/>
        </w:rPr>
        <w:lastRenderedPageBreak/>
        <w:t>Secretaria de Mobilidade Urbana e Segurança pela execução do programa municipal “Blitz Escol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res”. </w:t>
      </w:r>
      <w:r w:rsidRPr="00432D1C">
        <w:rPr>
          <w:b/>
          <w:sz w:val="24"/>
          <w:szCs w:val="24"/>
        </w:rPr>
        <w:t>Tal medida era de vital necessidade à maior adequação jurídica da proposição, uma vez que, na forma da jurisprudência citada no mesmo parecer (RE 290.549</w:t>
      </w:r>
      <w:r w:rsidR="00432D1C" w:rsidRPr="00432D1C">
        <w:rPr>
          <w:b/>
          <w:sz w:val="24"/>
          <w:szCs w:val="24"/>
        </w:rPr>
        <w:t xml:space="preserve"> AgR/RJ), o parlamentar até pode estabelecer políticas públicas pela via do processo legislativo, mas não pode detalhar a executoriedade de sua realiza</w:t>
      </w:r>
      <w:r w:rsidR="005F2E00">
        <w:rPr>
          <w:b/>
          <w:sz w:val="24"/>
          <w:szCs w:val="24"/>
        </w:rPr>
        <w:t>ção</w:t>
      </w:r>
      <w:r w:rsidR="00432D1C" w:rsidRPr="00432D1C">
        <w:rPr>
          <w:b/>
          <w:sz w:val="24"/>
          <w:szCs w:val="24"/>
        </w:rPr>
        <w:t>, “claramente deferida para a ativ</w:t>
      </w:r>
      <w:r w:rsidR="00432D1C" w:rsidRPr="00432D1C">
        <w:rPr>
          <w:b/>
          <w:sz w:val="24"/>
          <w:szCs w:val="24"/>
        </w:rPr>
        <w:t>i</w:t>
      </w:r>
      <w:r w:rsidR="00432D1C" w:rsidRPr="00432D1C">
        <w:rPr>
          <w:b/>
          <w:sz w:val="24"/>
          <w:szCs w:val="24"/>
        </w:rPr>
        <w:t>dade regulamentatória”</w:t>
      </w:r>
      <w:r w:rsidR="005F2E00">
        <w:rPr>
          <w:b/>
          <w:sz w:val="24"/>
          <w:szCs w:val="24"/>
        </w:rPr>
        <w:t>, que cabe ao Chefe do Poder Executivo.</w:t>
      </w:r>
    </w:p>
    <w:p w:rsidR="005C1195" w:rsidRDefault="005C1195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32D1C" w:rsidRDefault="00432D1C" w:rsidP="00A169C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Leia-se o trecho do parecer que indicou a necessidade da alteração:</w:t>
      </w:r>
    </w:p>
    <w:p w:rsidR="00432D1C" w:rsidRDefault="00432D1C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32D1C" w:rsidRDefault="00432D1C" w:rsidP="00432D1C">
      <w:pPr>
        <w:spacing w:after="0" w:line="36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w:drawing>
          <wp:inline distT="0" distB="0" distL="0" distR="0">
            <wp:extent cx="5760085" cy="1742440"/>
            <wp:effectExtent l="19050" t="0" r="0" b="0"/>
            <wp:docPr id="2" name="Imagem 1" descr="trecho parecer fernand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echo parecer fernando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74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D1C" w:rsidRDefault="00432D1C" w:rsidP="00A169C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71BC3" w:rsidRDefault="00F71BC3" w:rsidP="00F71BC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Uma das razões expostas no veto jurídico que justificou a medida adotada pelo Prefeito foi, exatamente, a ausência de ajuste da proposição quanto à referência da Secret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ria Municipal de Mobilidade Urbana e Segurança no </w:t>
      </w:r>
      <w:r>
        <w:rPr>
          <w:i/>
          <w:sz w:val="24"/>
          <w:szCs w:val="24"/>
        </w:rPr>
        <w:t xml:space="preserve">caput </w:t>
      </w:r>
      <w:r>
        <w:rPr>
          <w:sz w:val="24"/>
          <w:szCs w:val="24"/>
        </w:rPr>
        <w:t>do art. 1º do PL nº 090/2019, c</w:t>
      </w:r>
      <w:r>
        <w:rPr>
          <w:sz w:val="24"/>
          <w:szCs w:val="24"/>
        </w:rPr>
        <w:t>o</w:t>
      </w:r>
      <w:r>
        <w:rPr>
          <w:sz w:val="24"/>
          <w:szCs w:val="24"/>
        </w:rPr>
        <w:t>mo já havia alertado a Procuradoria da Câmara no parecer mencionado.</w:t>
      </w:r>
    </w:p>
    <w:p w:rsidR="00F71BC3" w:rsidRDefault="00F71BC3" w:rsidP="00F71BC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87C71" w:rsidRDefault="00F71BC3" w:rsidP="00F71BC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Portanto, s</w:t>
      </w:r>
      <w:r w:rsidR="007D3918">
        <w:rPr>
          <w:sz w:val="24"/>
          <w:szCs w:val="24"/>
        </w:rPr>
        <w:t>em ingressar no mérito da</w:t>
      </w:r>
      <w:r>
        <w:rPr>
          <w:sz w:val="24"/>
          <w:szCs w:val="24"/>
        </w:rPr>
        <w:t xml:space="preserve"> proposição, entende-se que, pelo fato de não ter sido atendida a recomendação da Procuradoria da Câmara quanto à retirada da ref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rência, no </w:t>
      </w:r>
      <w:r>
        <w:rPr>
          <w:i/>
          <w:sz w:val="24"/>
          <w:szCs w:val="24"/>
        </w:rPr>
        <w:t>caput</w:t>
      </w:r>
      <w:r>
        <w:rPr>
          <w:sz w:val="24"/>
          <w:szCs w:val="24"/>
        </w:rPr>
        <w:t xml:space="preserve"> do art. 1º, da responsabilidade da Secretaria de Mobilidade Urbana e Seg</w:t>
      </w:r>
      <w:r>
        <w:rPr>
          <w:sz w:val="24"/>
          <w:szCs w:val="24"/>
        </w:rPr>
        <w:t>u</w:t>
      </w:r>
      <w:r>
        <w:rPr>
          <w:sz w:val="24"/>
          <w:szCs w:val="24"/>
        </w:rPr>
        <w:t xml:space="preserve">rança pela execução do programa “Blitz Escolares”, </w:t>
      </w:r>
      <w:r w:rsidR="005F2E00">
        <w:rPr>
          <w:sz w:val="24"/>
          <w:szCs w:val="24"/>
        </w:rPr>
        <w:t>existe</w:t>
      </w:r>
      <w:r w:rsidR="00D65548">
        <w:rPr>
          <w:sz w:val="24"/>
          <w:szCs w:val="24"/>
        </w:rPr>
        <w:t xml:space="preserve"> vício formal de inconstitucional</w:t>
      </w:r>
      <w:r w:rsidR="00D65548">
        <w:rPr>
          <w:sz w:val="24"/>
          <w:szCs w:val="24"/>
        </w:rPr>
        <w:t>i</w:t>
      </w:r>
      <w:r w:rsidR="00D65548">
        <w:rPr>
          <w:sz w:val="24"/>
          <w:szCs w:val="24"/>
        </w:rPr>
        <w:t xml:space="preserve">dade por </w:t>
      </w:r>
      <w:r w:rsidR="005F2E00">
        <w:rPr>
          <w:sz w:val="24"/>
          <w:szCs w:val="24"/>
        </w:rPr>
        <w:t>defeito</w:t>
      </w:r>
      <w:r w:rsidR="00D65548">
        <w:rPr>
          <w:sz w:val="24"/>
          <w:szCs w:val="24"/>
        </w:rPr>
        <w:t xml:space="preserve"> de iniciativa, com fundamento no art. 60, II, “d”, da CE/RS.</w:t>
      </w:r>
    </w:p>
    <w:p w:rsidR="008030C6" w:rsidRDefault="002D6E85" w:rsidP="00AA383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F85172" w:rsidRPr="007037C8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7037C8">
        <w:rPr>
          <w:b/>
          <w:sz w:val="24"/>
          <w:szCs w:val="24"/>
        </w:rPr>
        <w:t>CONCLUSÃO</w:t>
      </w:r>
    </w:p>
    <w:p w:rsidR="00F85172" w:rsidRPr="007037C8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856D27" w:rsidRDefault="00772946" w:rsidP="00D65548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lastRenderedPageBreak/>
        <w:t xml:space="preserve">Diante do exposto, </w:t>
      </w:r>
      <w:r w:rsidRPr="008030C6">
        <w:rPr>
          <w:b/>
          <w:sz w:val="24"/>
          <w:szCs w:val="24"/>
        </w:rPr>
        <w:t>respeitada a natureza opinativa do parecer jurídico, que não vincula, por si só, a manifestação das comissões permanentes e a convicção dos membros desta Câmara, e assegurada a soberania do Plenário</w:t>
      </w:r>
      <w:r>
        <w:rPr>
          <w:sz w:val="24"/>
          <w:szCs w:val="24"/>
        </w:rPr>
        <w:t xml:space="preserve">, a Procuradoria </w:t>
      </w:r>
      <w:r w:rsidR="00856D27" w:rsidRPr="007037C8">
        <w:rPr>
          <w:b/>
          <w:sz w:val="24"/>
          <w:szCs w:val="24"/>
        </w:rPr>
        <w:t xml:space="preserve">opina </w:t>
      </w:r>
      <w:r w:rsidR="00856D27" w:rsidRPr="007037C8">
        <w:rPr>
          <w:sz w:val="24"/>
          <w:szCs w:val="24"/>
        </w:rPr>
        <w:t>pela</w:t>
      </w:r>
      <w:r w:rsidR="00E82A6B">
        <w:rPr>
          <w:sz w:val="24"/>
          <w:szCs w:val="24"/>
        </w:rPr>
        <w:t xml:space="preserve"> </w:t>
      </w:r>
      <w:r w:rsidR="00D65548">
        <w:rPr>
          <w:sz w:val="24"/>
          <w:szCs w:val="24"/>
        </w:rPr>
        <w:t>in</w:t>
      </w:r>
      <w:r w:rsidR="00E82A6B">
        <w:rPr>
          <w:sz w:val="24"/>
          <w:szCs w:val="24"/>
        </w:rPr>
        <w:t>constit</w:t>
      </w:r>
      <w:r w:rsidR="00E82A6B">
        <w:rPr>
          <w:sz w:val="24"/>
          <w:szCs w:val="24"/>
        </w:rPr>
        <w:t>u</w:t>
      </w:r>
      <w:r w:rsidR="00D65548">
        <w:rPr>
          <w:sz w:val="24"/>
          <w:szCs w:val="24"/>
        </w:rPr>
        <w:t>cionalidade formal por vício de iniciativa do Projeto de Lei nº 090/19, por não ter sido ate</w:t>
      </w:r>
      <w:r w:rsidR="00D65548">
        <w:rPr>
          <w:sz w:val="24"/>
          <w:szCs w:val="24"/>
        </w:rPr>
        <w:t>n</w:t>
      </w:r>
      <w:r w:rsidR="00D65548">
        <w:rPr>
          <w:sz w:val="24"/>
          <w:szCs w:val="24"/>
        </w:rPr>
        <w:t xml:space="preserve">dida a providência recomendada no parecer jurídico, o que comprometeu a possibilidade de sustentação da viabilidade jurídica. </w:t>
      </w:r>
      <w:r w:rsidR="00D65548" w:rsidRPr="00C27D78">
        <w:rPr>
          <w:sz w:val="24"/>
          <w:szCs w:val="24"/>
          <w:u w:val="single"/>
        </w:rPr>
        <w:t>Opina</w:t>
      </w:r>
      <w:r w:rsidR="00C27D78" w:rsidRPr="00C27D78">
        <w:rPr>
          <w:sz w:val="24"/>
          <w:szCs w:val="24"/>
          <w:u w:val="single"/>
        </w:rPr>
        <w:t xml:space="preserve">-se, portanto, </w:t>
      </w:r>
      <w:r w:rsidR="00D65548" w:rsidRPr="00C27D78">
        <w:rPr>
          <w:sz w:val="24"/>
          <w:szCs w:val="24"/>
          <w:u w:val="single"/>
        </w:rPr>
        <w:t>pelo acolhimento do veto t</w:t>
      </w:r>
      <w:r w:rsidR="00D65548" w:rsidRPr="00C27D78">
        <w:rPr>
          <w:sz w:val="24"/>
          <w:szCs w:val="24"/>
          <w:u w:val="single"/>
        </w:rPr>
        <w:t>o</w:t>
      </w:r>
      <w:r w:rsidR="00D65548" w:rsidRPr="00C27D78">
        <w:rPr>
          <w:sz w:val="24"/>
          <w:szCs w:val="24"/>
          <w:u w:val="single"/>
        </w:rPr>
        <w:t>tal.</w:t>
      </w:r>
    </w:p>
    <w:p w:rsidR="00856D27" w:rsidRDefault="00856D27" w:rsidP="0020692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56D27" w:rsidRDefault="00856D27" w:rsidP="0020692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parecer, salvo melhor juízo.</w:t>
      </w:r>
    </w:p>
    <w:p w:rsidR="00856D27" w:rsidRDefault="00856D27" w:rsidP="00856D27">
      <w:pPr>
        <w:spacing w:after="0" w:line="360" w:lineRule="auto"/>
        <w:jc w:val="both"/>
        <w:rPr>
          <w:sz w:val="24"/>
          <w:szCs w:val="24"/>
        </w:rPr>
      </w:pPr>
    </w:p>
    <w:p w:rsidR="005D581E" w:rsidRDefault="00856D27" w:rsidP="00856D27">
      <w:pPr>
        <w:spacing w:after="0" w:line="360" w:lineRule="auto"/>
        <w:jc w:val="center"/>
        <w:rPr>
          <w:b/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D65548">
        <w:rPr>
          <w:sz w:val="24"/>
          <w:szCs w:val="24"/>
        </w:rPr>
        <w:t>27 de novembro de 2019.</w:t>
      </w:r>
    </w:p>
    <w:p w:rsidR="00856D27" w:rsidRDefault="00856D27" w:rsidP="00856D27">
      <w:pPr>
        <w:spacing w:after="0" w:line="360" w:lineRule="auto"/>
        <w:jc w:val="center"/>
        <w:rPr>
          <w:b/>
          <w:sz w:val="24"/>
          <w:szCs w:val="24"/>
        </w:rPr>
      </w:pPr>
    </w:p>
    <w:p w:rsidR="00856D27" w:rsidRDefault="00856D27" w:rsidP="00856D27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856D27" w:rsidRDefault="00856D27" w:rsidP="00856D27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856D27" w:rsidRPr="00856D27" w:rsidRDefault="00856D27" w:rsidP="00856D27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856D27" w:rsidRPr="00856D27" w:rsidSect="00C9671D">
      <w:headerReference w:type="default" r:id="rId10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0762" w:rsidRDefault="00DA0762" w:rsidP="00B365A3">
      <w:pPr>
        <w:spacing w:after="0" w:line="240" w:lineRule="auto"/>
      </w:pPr>
      <w:r>
        <w:separator/>
      </w:r>
    </w:p>
  </w:endnote>
  <w:endnote w:type="continuationSeparator" w:id="1">
    <w:p w:rsidR="00DA0762" w:rsidRDefault="00DA0762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0762" w:rsidRDefault="00DA0762" w:rsidP="00B365A3">
      <w:pPr>
        <w:spacing w:after="0" w:line="240" w:lineRule="auto"/>
      </w:pPr>
      <w:r>
        <w:separator/>
      </w:r>
    </w:p>
  </w:footnote>
  <w:footnote w:type="continuationSeparator" w:id="1">
    <w:p w:rsidR="00DA0762" w:rsidRDefault="00DA0762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multilevel"/>
    <w:tmpl w:val="7BBA287E"/>
    <w:lvl w:ilvl="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1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7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7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93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26106"/>
    <w:rsid w:val="00032713"/>
    <w:rsid w:val="00036BC1"/>
    <w:rsid w:val="000714D3"/>
    <w:rsid w:val="0008289C"/>
    <w:rsid w:val="000B2228"/>
    <w:rsid w:val="00104EAA"/>
    <w:rsid w:val="00110DB4"/>
    <w:rsid w:val="001144C0"/>
    <w:rsid w:val="0013707C"/>
    <w:rsid w:val="001625CA"/>
    <w:rsid w:val="00187184"/>
    <w:rsid w:val="001F5FE9"/>
    <w:rsid w:val="001F6BDB"/>
    <w:rsid w:val="001F7088"/>
    <w:rsid w:val="00206928"/>
    <w:rsid w:val="002406C4"/>
    <w:rsid w:val="00240C04"/>
    <w:rsid w:val="002460A3"/>
    <w:rsid w:val="002577E1"/>
    <w:rsid w:val="00257E31"/>
    <w:rsid w:val="002C167C"/>
    <w:rsid w:val="002D6E85"/>
    <w:rsid w:val="003617F4"/>
    <w:rsid w:val="003D58CA"/>
    <w:rsid w:val="003D629C"/>
    <w:rsid w:val="003E0914"/>
    <w:rsid w:val="003F7AC0"/>
    <w:rsid w:val="0041616C"/>
    <w:rsid w:val="004303E8"/>
    <w:rsid w:val="00432D1C"/>
    <w:rsid w:val="004725D2"/>
    <w:rsid w:val="0047655F"/>
    <w:rsid w:val="004C4846"/>
    <w:rsid w:val="004E1F69"/>
    <w:rsid w:val="004F2927"/>
    <w:rsid w:val="00547BC4"/>
    <w:rsid w:val="005707B6"/>
    <w:rsid w:val="00576E92"/>
    <w:rsid w:val="00577B06"/>
    <w:rsid w:val="005C1195"/>
    <w:rsid w:val="005D581E"/>
    <w:rsid w:val="005F2E00"/>
    <w:rsid w:val="005F4889"/>
    <w:rsid w:val="00601816"/>
    <w:rsid w:val="00603D1A"/>
    <w:rsid w:val="00624049"/>
    <w:rsid w:val="006253C5"/>
    <w:rsid w:val="00631E27"/>
    <w:rsid w:val="00684737"/>
    <w:rsid w:val="00691044"/>
    <w:rsid w:val="007037C8"/>
    <w:rsid w:val="0071024F"/>
    <w:rsid w:val="00713C51"/>
    <w:rsid w:val="00725DFE"/>
    <w:rsid w:val="00731E02"/>
    <w:rsid w:val="00742FD6"/>
    <w:rsid w:val="0076734D"/>
    <w:rsid w:val="00772946"/>
    <w:rsid w:val="007740F2"/>
    <w:rsid w:val="00784C1B"/>
    <w:rsid w:val="007854E6"/>
    <w:rsid w:val="007B149E"/>
    <w:rsid w:val="007C444A"/>
    <w:rsid w:val="007D3918"/>
    <w:rsid w:val="007E55B7"/>
    <w:rsid w:val="008030C6"/>
    <w:rsid w:val="00811016"/>
    <w:rsid w:val="008138B2"/>
    <w:rsid w:val="008165C9"/>
    <w:rsid w:val="00820BFB"/>
    <w:rsid w:val="008426D4"/>
    <w:rsid w:val="00845AED"/>
    <w:rsid w:val="00847C81"/>
    <w:rsid w:val="00856D27"/>
    <w:rsid w:val="00864D77"/>
    <w:rsid w:val="0089327C"/>
    <w:rsid w:val="0089606D"/>
    <w:rsid w:val="008A02A8"/>
    <w:rsid w:val="008A79E4"/>
    <w:rsid w:val="008B6B22"/>
    <w:rsid w:val="008C59FA"/>
    <w:rsid w:val="008D4CD9"/>
    <w:rsid w:val="00905B60"/>
    <w:rsid w:val="009075FE"/>
    <w:rsid w:val="00933451"/>
    <w:rsid w:val="00953A32"/>
    <w:rsid w:val="00955334"/>
    <w:rsid w:val="00965DF3"/>
    <w:rsid w:val="009677B1"/>
    <w:rsid w:val="009762CB"/>
    <w:rsid w:val="00987C71"/>
    <w:rsid w:val="009A1232"/>
    <w:rsid w:val="009B7D3B"/>
    <w:rsid w:val="009D6D97"/>
    <w:rsid w:val="009E03A3"/>
    <w:rsid w:val="009F2D0B"/>
    <w:rsid w:val="00A169C6"/>
    <w:rsid w:val="00A403C0"/>
    <w:rsid w:val="00A77DF1"/>
    <w:rsid w:val="00A808BC"/>
    <w:rsid w:val="00A91A8F"/>
    <w:rsid w:val="00AA383D"/>
    <w:rsid w:val="00AF6E8B"/>
    <w:rsid w:val="00B074D9"/>
    <w:rsid w:val="00B31D5E"/>
    <w:rsid w:val="00B365A3"/>
    <w:rsid w:val="00BB5473"/>
    <w:rsid w:val="00BE5906"/>
    <w:rsid w:val="00BE61A5"/>
    <w:rsid w:val="00C12338"/>
    <w:rsid w:val="00C27D78"/>
    <w:rsid w:val="00C42492"/>
    <w:rsid w:val="00C43581"/>
    <w:rsid w:val="00C66A42"/>
    <w:rsid w:val="00C7445E"/>
    <w:rsid w:val="00C9671D"/>
    <w:rsid w:val="00CA5BAA"/>
    <w:rsid w:val="00D6372E"/>
    <w:rsid w:val="00D65548"/>
    <w:rsid w:val="00D76F03"/>
    <w:rsid w:val="00D90096"/>
    <w:rsid w:val="00DA0762"/>
    <w:rsid w:val="00DA7A73"/>
    <w:rsid w:val="00DC0FFE"/>
    <w:rsid w:val="00DF44A8"/>
    <w:rsid w:val="00E003C1"/>
    <w:rsid w:val="00E16C63"/>
    <w:rsid w:val="00E501C1"/>
    <w:rsid w:val="00E5368A"/>
    <w:rsid w:val="00E772D1"/>
    <w:rsid w:val="00E82A6B"/>
    <w:rsid w:val="00F00312"/>
    <w:rsid w:val="00F00E14"/>
    <w:rsid w:val="00F05045"/>
    <w:rsid w:val="00F1710C"/>
    <w:rsid w:val="00F25243"/>
    <w:rsid w:val="00F6334E"/>
    <w:rsid w:val="00F6465F"/>
    <w:rsid w:val="00F71BC3"/>
    <w:rsid w:val="00F85172"/>
    <w:rsid w:val="00F94625"/>
    <w:rsid w:val="00FC418D"/>
    <w:rsid w:val="00FD4442"/>
    <w:rsid w:val="00FE7E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DFDFE-4768-4A4D-B412-1ED3F87A6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</Pages>
  <Words>1482</Words>
  <Characters>8007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</cp:lastModifiedBy>
  <cp:revision>31</cp:revision>
  <cp:lastPrinted>2019-08-12T15:27:00Z</cp:lastPrinted>
  <dcterms:created xsi:type="dcterms:W3CDTF">2019-11-27T17:07:00Z</dcterms:created>
  <dcterms:modified xsi:type="dcterms:W3CDTF">2019-11-27T18:35:00Z</dcterms:modified>
</cp:coreProperties>
</file>