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E542CD" w14:textId="08977877" w:rsidR="00B365A3" w:rsidRPr="007037C8" w:rsidRDefault="008138B2" w:rsidP="000261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b/>
          <w:sz w:val="24"/>
          <w:szCs w:val="24"/>
        </w:rPr>
      </w:pPr>
      <w:r w:rsidRPr="007037C8">
        <w:rPr>
          <w:b/>
          <w:sz w:val="24"/>
          <w:szCs w:val="24"/>
        </w:rPr>
        <w:t>PARECER JURÍDICO</w:t>
      </w:r>
      <w:r w:rsidR="009C3775">
        <w:rPr>
          <w:b/>
          <w:sz w:val="24"/>
          <w:szCs w:val="24"/>
        </w:rPr>
        <w:t xml:space="preserve"> Nº </w:t>
      </w:r>
      <w:r w:rsidR="0014022D">
        <w:rPr>
          <w:b/>
          <w:sz w:val="24"/>
          <w:szCs w:val="24"/>
        </w:rPr>
        <w:t>127</w:t>
      </w:r>
      <w:r w:rsidR="009C3775">
        <w:rPr>
          <w:b/>
          <w:sz w:val="24"/>
          <w:szCs w:val="24"/>
        </w:rPr>
        <w:t>/2020</w:t>
      </w:r>
    </w:p>
    <w:p w14:paraId="2340655A" w14:textId="77777777" w:rsidR="008138B2" w:rsidRPr="007037C8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</w:p>
    <w:p w14:paraId="787CEDFB" w14:textId="77777777" w:rsidR="008138B2" w:rsidRPr="007037C8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7037C8">
        <w:rPr>
          <w:b/>
          <w:sz w:val="24"/>
          <w:szCs w:val="24"/>
        </w:rPr>
        <w:t>RELATÓRIO</w:t>
      </w:r>
    </w:p>
    <w:p w14:paraId="6BC2B08A" w14:textId="77777777" w:rsidR="008138B2" w:rsidRPr="007037C8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14:paraId="26FB8FCD" w14:textId="5A3BCB1A" w:rsidR="00742FD6" w:rsidRDefault="00742FD6" w:rsidP="00742FD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Vereador </w:t>
      </w:r>
      <w:r w:rsidR="009C3775">
        <w:rPr>
          <w:sz w:val="24"/>
          <w:szCs w:val="24"/>
        </w:rPr>
        <w:t xml:space="preserve">Manoel Eletricista </w:t>
      </w:r>
      <w:r>
        <w:rPr>
          <w:sz w:val="24"/>
          <w:szCs w:val="24"/>
        </w:rPr>
        <w:t>apr</w:t>
      </w:r>
      <w:r w:rsidRPr="00E501C1">
        <w:rPr>
          <w:sz w:val="24"/>
          <w:szCs w:val="24"/>
        </w:rPr>
        <w:t xml:space="preserve">esentou o Projeto de Lei nº </w:t>
      </w:r>
      <w:r>
        <w:rPr>
          <w:sz w:val="24"/>
          <w:szCs w:val="24"/>
        </w:rPr>
        <w:t>0</w:t>
      </w:r>
      <w:r w:rsidR="00EF0D50">
        <w:rPr>
          <w:sz w:val="24"/>
          <w:szCs w:val="24"/>
        </w:rPr>
        <w:t>0</w:t>
      </w:r>
      <w:r>
        <w:rPr>
          <w:sz w:val="24"/>
          <w:szCs w:val="24"/>
        </w:rPr>
        <w:t>9/20</w:t>
      </w:r>
      <w:r w:rsidR="00EF0D50">
        <w:rPr>
          <w:sz w:val="24"/>
          <w:szCs w:val="24"/>
        </w:rPr>
        <w:t>20</w:t>
      </w:r>
      <w:r>
        <w:rPr>
          <w:sz w:val="24"/>
          <w:szCs w:val="24"/>
        </w:rPr>
        <w:t xml:space="preserve"> </w:t>
      </w:r>
      <w:r w:rsidRPr="00E501C1">
        <w:rPr>
          <w:sz w:val="24"/>
          <w:szCs w:val="24"/>
        </w:rPr>
        <w:t xml:space="preserve">à Câmara Municipal, </w:t>
      </w:r>
      <w:r>
        <w:rPr>
          <w:sz w:val="24"/>
          <w:szCs w:val="24"/>
        </w:rPr>
        <w:t xml:space="preserve">objetivando </w:t>
      </w:r>
      <w:r w:rsidR="00EF0D50">
        <w:rPr>
          <w:sz w:val="24"/>
          <w:szCs w:val="24"/>
        </w:rPr>
        <w:t xml:space="preserve">obrigar os proprietários de cães a colocarem placas com os dizeres “CUIDADO CÃO BRAVO” ou “CUIDADO COM O CÃO” em suas residências. </w:t>
      </w:r>
      <w:r>
        <w:rPr>
          <w:sz w:val="24"/>
          <w:szCs w:val="24"/>
        </w:rPr>
        <w:t>A proposta foi encaminhada à Procuradoria pela Presidência da Câmara para análise nos termos do art</w:t>
      </w:r>
      <w:r w:rsidR="00EF0D50">
        <w:rPr>
          <w:sz w:val="24"/>
          <w:szCs w:val="24"/>
        </w:rPr>
        <w:t>igo</w:t>
      </w:r>
      <w:r>
        <w:rPr>
          <w:sz w:val="24"/>
          <w:szCs w:val="24"/>
        </w:rPr>
        <w:t xml:space="preserve"> 105 do Regimento Interno.</w:t>
      </w:r>
      <w:r w:rsidR="003D58CA">
        <w:rPr>
          <w:sz w:val="24"/>
          <w:szCs w:val="24"/>
        </w:rPr>
        <w:t xml:space="preserve"> </w:t>
      </w:r>
      <w:r>
        <w:rPr>
          <w:sz w:val="24"/>
          <w:szCs w:val="24"/>
        </w:rPr>
        <w:t>Após</w:t>
      </w:r>
      <w:r w:rsidR="00EF0D50">
        <w:rPr>
          <w:sz w:val="24"/>
          <w:szCs w:val="24"/>
        </w:rPr>
        <w:t xml:space="preserve"> a apresentação de substitutivo e com</w:t>
      </w:r>
      <w:r>
        <w:rPr>
          <w:sz w:val="24"/>
          <w:szCs w:val="24"/>
        </w:rPr>
        <w:t xml:space="preserve"> </w:t>
      </w:r>
      <w:r w:rsidR="003D58CA">
        <w:rPr>
          <w:sz w:val="24"/>
          <w:szCs w:val="24"/>
        </w:rPr>
        <w:t xml:space="preserve">os </w:t>
      </w:r>
      <w:r>
        <w:rPr>
          <w:sz w:val="24"/>
          <w:szCs w:val="24"/>
        </w:rPr>
        <w:t>pareceres das comissões permanentes, a propos</w:t>
      </w:r>
      <w:r w:rsidR="003D58CA">
        <w:rPr>
          <w:sz w:val="24"/>
          <w:szCs w:val="24"/>
        </w:rPr>
        <w:t xml:space="preserve">ta </w:t>
      </w:r>
      <w:r>
        <w:rPr>
          <w:sz w:val="24"/>
          <w:szCs w:val="24"/>
        </w:rPr>
        <w:t xml:space="preserve">foi aprovada em sessão plenária, a qual, </w:t>
      </w:r>
      <w:r w:rsidR="00EF0D50">
        <w:rPr>
          <w:sz w:val="24"/>
          <w:szCs w:val="24"/>
        </w:rPr>
        <w:t>porém</w:t>
      </w:r>
      <w:r>
        <w:rPr>
          <w:sz w:val="24"/>
          <w:szCs w:val="24"/>
        </w:rPr>
        <w:t>, r</w:t>
      </w:r>
      <w:r w:rsidR="003D58CA">
        <w:rPr>
          <w:sz w:val="24"/>
          <w:szCs w:val="24"/>
        </w:rPr>
        <w:t xml:space="preserve">ecebeu veto total pelo Chefe do </w:t>
      </w:r>
      <w:r>
        <w:rPr>
          <w:sz w:val="24"/>
          <w:szCs w:val="24"/>
        </w:rPr>
        <w:t>Executivo, remetido para análise jurídica</w:t>
      </w:r>
      <w:r w:rsidR="003D58CA">
        <w:rPr>
          <w:sz w:val="24"/>
          <w:szCs w:val="24"/>
        </w:rPr>
        <w:t xml:space="preserve"> deste órgão</w:t>
      </w:r>
      <w:r>
        <w:rPr>
          <w:sz w:val="24"/>
          <w:szCs w:val="24"/>
        </w:rPr>
        <w:t>.</w:t>
      </w:r>
    </w:p>
    <w:p w14:paraId="1BC87415" w14:textId="77777777" w:rsidR="008030C6" w:rsidRDefault="008030C6" w:rsidP="00187184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7419FD7A" w14:textId="77777777" w:rsidR="008030C6" w:rsidRDefault="008030C6" w:rsidP="008030C6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FUNÇÕES DA PROCURADORIA JURÍDICA</w:t>
      </w:r>
    </w:p>
    <w:p w14:paraId="241E25D6" w14:textId="77777777" w:rsidR="008030C6" w:rsidRDefault="008030C6" w:rsidP="008030C6">
      <w:pPr>
        <w:spacing w:after="0" w:line="360" w:lineRule="auto"/>
        <w:jc w:val="both"/>
        <w:rPr>
          <w:rFonts w:cs="Times New Roman"/>
          <w:b/>
          <w:sz w:val="24"/>
          <w:szCs w:val="24"/>
        </w:rPr>
      </w:pPr>
    </w:p>
    <w:p w14:paraId="339E479A" w14:textId="77777777" w:rsidR="008030C6" w:rsidRDefault="008030C6" w:rsidP="008030C6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 Procuradoria Jurídica da Câmara de Guaíba, órgão consultivo com previsão no art. 3º da Lei Municipal nº 3.687/18, exerce as funções de assessoramento jurídico e de orientação da Mesa Diretora, da Presidência da Casa e dos setores legislativos, através da emissão de pareceres escritos e verbais, bem como de opiniões fundamentadas objetivando a tomada de decisões, por meio de reuniões, de manifestações escritas e de aconselhamentos. Trata-se de órgão público que, embora </w:t>
      </w:r>
      <w:r w:rsidRPr="008030C6">
        <w:rPr>
          <w:rFonts w:cs="Times New Roman"/>
          <w:sz w:val="24"/>
          <w:szCs w:val="24"/>
          <w:u w:val="single"/>
        </w:rPr>
        <w:t>não detenha competência decisória</w:t>
      </w:r>
      <w:r>
        <w:rPr>
          <w:rFonts w:cs="Times New Roman"/>
          <w:sz w:val="24"/>
          <w:szCs w:val="24"/>
        </w:rPr>
        <w:t xml:space="preserve">, orienta juridicamente o gestor público e os setores legislativos, </w:t>
      </w:r>
      <w:r w:rsidRPr="008030C6">
        <w:rPr>
          <w:rFonts w:cs="Times New Roman"/>
          <w:sz w:val="24"/>
          <w:szCs w:val="24"/>
          <w:u w:val="single"/>
        </w:rPr>
        <w:t>sem caráter vinculante.</w:t>
      </w:r>
    </w:p>
    <w:p w14:paraId="5A2DB603" w14:textId="77777777" w:rsidR="008030C6" w:rsidRDefault="008030C6" w:rsidP="008030C6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14:paraId="26AC6D7A" w14:textId="77777777" w:rsidR="008030C6" w:rsidRDefault="008030C6" w:rsidP="008030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Os pareceres jurídicos são atos resultantes do exercício da função consultiva desta Procuradoria Jurídica, no sentido de alertar para eventuais inconformidades que possam estar presentes. Conforme leciona Hely Lopes Meirelles</w:t>
      </w:r>
      <w:r w:rsidRPr="00584F6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na obra Direito Administrativo Brasileiro, 41ª ed., Malheiros Editores: São Paulo, 2015, p. 204, </w:t>
      </w:r>
      <w:r w:rsidRPr="008030C6">
        <w:rPr>
          <w:b/>
          <w:sz w:val="24"/>
          <w:szCs w:val="24"/>
        </w:rPr>
        <w:t>“O parecer tem caráter meramente opinativo, não vinculando a Administração ou os particulares à sua motivação ou conclusões, salvo se aprovado por ato subsequente. Já, então, o que subsiste como ato administrativo não é o parecer, mas, sim, o ato de sua aprovação, que poderá revestir a modalidade normativa, ordinatória, negocial ou punitiva</w:t>
      </w:r>
      <w:r w:rsidR="00713C51">
        <w:rPr>
          <w:b/>
          <w:sz w:val="24"/>
          <w:szCs w:val="24"/>
        </w:rPr>
        <w:t>”.</w:t>
      </w:r>
    </w:p>
    <w:p w14:paraId="3FF0B9BC" w14:textId="77777777" w:rsidR="008030C6" w:rsidRDefault="008030C6" w:rsidP="008030C6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11124807" w14:textId="77777777" w:rsidR="008030C6" w:rsidRPr="00BF24E2" w:rsidRDefault="008030C6" w:rsidP="008030C6">
      <w:pPr>
        <w:spacing w:after="0" w:line="360" w:lineRule="auto"/>
        <w:ind w:firstLine="1134"/>
        <w:jc w:val="both"/>
        <w:rPr>
          <w:rFonts w:cs="Times New Roman"/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Desse modo, a função consultiva desempenhada por esta Procuradoria com base no art. 3º da Lei Municipal nº 3.687/18 – que dispõe sobre a organização administrativa da Câmara Municipal de Guaíba – </w:t>
      </w:r>
      <w:r w:rsidRPr="00BF24E2">
        <w:rPr>
          <w:b/>
          <w:sz w:val="24"/>
          <w:szCs w:val="24"/>
        </w:rPr>
        <w:t>não é vinculante</w:t>
      </w:r>
      <w:r>
        <w:rPr>
          <w:sz w:val="24"/>
          <w:szCs w:val="24"/>
        </w:rPr>
        <w:t xml:space="preserve">, motivo pelo qual </w:t>
      </w:r>
      <w:r w:rsidRPr="008030C6">
        <w:rPr>
          <w:sz w:val="24"/>
          <w:szCs w:val="24"/>
          <w:u w:val="single"/>
        </w:rPr>
        <w:t>é possível, se for o caso, que os agentes políticos formem suas próprias convicções em discordância com as opiniões manifestadas por meio do parecer jurídico.</w:t>
      </w:r>
    </w:p>
    <w:p w14:paraId="0561E926" w14:textId="77777777" w:rsidR="00BE5906" w:rsidRDefault="00BE5906" w:rsidP="00BE5906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1839F78D" w14:textId="77777777" w:rsidR="008138B2" w:rsidRDefault="007037C8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7037C8">
        <w:rPr>
          <w:b/>
          <w:sz w:val="24"/>
          <w:szCs w:val="24"/>
        </w:rPr>
        <w:t>MÉRITO</w:t>
      </w:r>
    </w:p>
    <w:p w14:paraId="02DA9E2A" w14:textId="77777777" w:rsidR="002D6E85" w:rsidRPr="002D6E85" w:rsidRDefault="002D6E85" w:rsidP="002D6E85">
      <w:pPr>
        <w:spacing w:after="0" w:line="360" w:lineRule="auto"/>
        <w:ind w:left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3.1 DAS ESPÉCIES DE VETO</w:t>
      </w:r>
    </w:p>
    <w:p w14:paraId="17F25EBE" w14:textId="77777777" w:rsidR="008138B2" w:rsidRPr="007037C8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14:paraId="48295C51" w14:textId="77777777" w:rsidR="001F7088" w:rsidRDefault="002D6E85" w:rsidP="002D6E8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Constituição Federal de 1988</w:t>
      </w:r>
      <w:r w:rsidR="001F7088">
        <w:rPr>
          <w:sz w:val="24"/>
          <w:szCs w:val="24"/>
        </w:rPr>
        <w:t>, a partir do art. 59 até o art. 69,</w:t>
      </w:r>
      <w:r>
        <w:rPr>
          <w:sz w:val="24"/>
          <w:szCs w:val="24"/>
        </w:rPr>
        <w:t xml:space="preserve"> estabelece normas relativas ao processo de cria</w:t>
      </w:r>
      <w:r w:rsidR="001F7088">
        <w:rPr>
          <w:sz w:val="24"/>
          <w:szCs w:val="24"/>
        </w:rPr>
        <w:t>ção legislativa, as quais, segundo interpretação do Supremo Tribunal Federal, são de reprodução/repetição obrigatória pelos entes federados:</w:t>
      </w:r>
    </w:p>
    <w:p w14:paraId="75C7703B" w14:textId="77777777" w:rsidR="001F7088" w:rsidRDefault="001F7088" w:rsidP="002D6E85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7F297B58" w14:textId="77777777" w:rsidR="001F7088" w:rsidRPr="001F7088" w:rsidRDefault="001F7088" w:rsidP="001F7088">
      <w:pPr>
        <w:spacing w:after="0" w:line="240" w:lineRule="auto"/>
        <w:ind w:left="2268"/>
        <w:jc w:val="both"/>
        <w:rPr>
          <w:sz w:val="20"/>
          <w:szCs w:val="20"/>
        </w:rPr>
      </w:pPr>
      <w:r w:rsidRPr="001F7088">
        <w:rPr>
          <w:sz w:val="20"/>
          <w:szCs w:val="20"/>
        </w:rPr>
        <w:t xml:space="preserve">Agravo regimental no recurso extraordinário. Constitucional. Representação de inconstitucionalidade de lei municipal em face de Constituição Estadual. Processo legislativo. </w:t>
      </w:r>
      <w:r w:rsidRPr="001F7088">
        <w:rPr>
          <w:b/>
          <w:sz w:val="20"/>
          <w:szCs w:val="20"/>
        </w:rPr>
        <w:t>Normas de reprodução obrigatória</w:t>
      </w:r>
      <w:r w:rsidRPr="001F7088">
        <w:rPr>
          <w:sz w:val="20"/>
          <w:szCs w:val="20"/>
        </w:rPr>
        <w:t xml:space="preserve">. Criação de órgãos públicos. Competência do Chefe do Poder Executivo. Iniciativa parlamentar. Inconstitucionalidade formal. Precedentes. </w:t>
      </w:r>
      <w:r w:rsidRPr="001F7088">
        <w:rPr>
          <w:b/>
          <w:sz w:val="20"/>
          <w:szCs w:val="20"/>
        </w:rPr>
        <w:t>1. A orientação deste Tribunal é de que as normas que regem o processo legislativo previstas na Constituição Federal são de reprodução obrigatória pelas Constituições dos Estados-membros, que a elas devem obediência, sob pena de incorrerem em vício insanável de inconstitucionalidade.</w:t>
      </w:r>
      <w:r w:rsidRPr="001F7088">
        <w:rPr>
          <w:sz w:val="20"/>
          <w:szCs w:val="20"/>
        </w:rPr>
        <w:t xml:space="preserve"> [...] (RE 505476 </w:t>
      </w:r>
      <w:proofErr w:type="spellStart"/>
      <w:r w:rsidRPr="001F7088">
        <w:rPr>
          <w:sz w:val="20"/>
          <w:szCs w:val="20"/>
        </w:rPr>
        <w:t>AgR</w:t>
      </w:r>
      <w:proofErr w:type="spellEnd"/>
      <w:r w:rsidRPr="001F7088">
        <w:rPr>
          <w:sz w:val="20"/>
          <w:szCs w:val="20"/>
        </w:rPr>
        <w:t>, Relator:  Min. DIAS TOFFOLI, Primeira Turma, julgado em 21/08/2012, ACÓRDÃO ELETRÔNICO DJe-176 DIVULG 05-09-2012 PUBLIC 06-09-2012).</w:t>
      </w:r>
    </w:p>
    <w:p w14:paraId="756DDF2B" w14:textId="77777777" w:rsidR="001F7088" w:rsidRDefault="001F7088" w:rsidP="002D6E85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13176CBC" w14:textId="77777777" w:rsidR="001F7088" w:rsidRDefault="001F7088" w:rsidP="002D6E8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No art. 66, § 1º, da Constituição Federal de 1988, há regramento acerca do poder de veto pelo Chefe do Poder Executivo, nos seguintes termos:</w:t>
      </w:r>
    </w:p>
    <w:p w14:paraId="04B3225F" w14:textId="77777777" w:rsidR="002D6E85" w:rsidRDefault="002D6E85" w:rsidP="002D6E85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673A4138" w14:textId="77777777" w:rsidR="002D6E85" w:rsidRPr="001F7088" w:rsidRDefault="002D6E85" w:rsidP="002D6E85">
      <w:pPr>
        <w:spacing w:after="0" w:line="240" w:lineRule="auto"/>
        <w:ind w:left="2268"/>
        <w:jc w:val="both"/>
        <w:rPr>
          <w:sz w:val="20"/>
          <w:szCs w:val="20"/>
        </w:rPr>
      </w:pPr>
      <w:r w:rsidRPr="001F7088">
        <w:rPr>
          <w:sz w:val="20"/>
          <w:szCs w:val="20"/>
        </w:rPr>
        <w:t>Art. 66. (...)</w:t>
      </w:r>
    </w:p>
    <w:p w14:paraId="40E4EFB7" w14:textId="77777777" w:rsidR="002D6E85" w:rsidRPr="001F7088" w:rsidRDefault="002D6E85" w:rsidP="002D6E85">
      <w:pPr>
        <w:spacing w:after="0" w:line="240" w:lineRule="auto"/>
        <w:ind w:left="2268"/>
        <w:jc w:val="both"/>
        <w:rPr>
          <w:sz w:val="20"/>
          <w:szCs w:val="20"/>
        </w:rPr>
      </w:pPr>
      <w:r w:rsidRPr="001F7088">
        <w:rPr>
          <w:sz w:val="20"/>
          <w:szCs w:val="20"/>
        </w:rPr>
        <w:t xml:space="preserve">§ 1º Se o Presidente da República considerar o projeto, no todo ou em parte, </w:t>
      </w:r>
      <w:r w:rsidRPr="001F7088">
        <w:rPr>
          <w:b/>
          <w:sz w:val="20"/>
          <w:szCs w:val="20"/>
        </w:rPr>
        <w:t>inconstitucional ou contrário ao interesse público</w:t>
      </w:r>
      <w:r w:rsidRPr="001F7088">
        <w:rPr>
          <w:sz w:val="20"/>
          <w:szCs w:val="20"/>
        </w:rPr>
        <w:t>, vetá-lo-á total ou parcialmente, no prazo de quinze dias úteis, contados da data do recebimento, e comunicará, dentro de quarenta e oito horas, ao Presidente do Senado Federal os motivos do veto.</w:t>
      </w:r>
    </w:p>
    <w:p w14:paraId="29CD0850" w14:textId="77777777" w:rsidR="002D6E85" w:rsidRDefault="002D6E85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39C4ADD2" w14:textId="39BD81E3" w:rsidR="001F7088" w:rsidRDefault="001F7088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Como se nota, o dispositivo constitucional menciona a possibilidade de o Chefe do Poder Executivo vetar as proposições legislativas </w:t>
      </w:r>
      <w:r w:rsidR="00987C71">
        <w:rPr>
          <w:sz w:val="24"/>
          <w:szCs w:val="24"/>
        </w:rPr>
        <w:t>por</w:t>
      </w:r>
      <w:r>
        <w:rPr>
          <w:sz w:val="24"/>
          <w:szCs w:val="24"/>
        </w:rPr>
        <w:t xml:space="preserve"> </w:t>
      </w:r>
      <w:r w:rsidRPr="001F7088">
        <w:rPr>
          <w:b/>
          <w:sz w:val="24"/>
          <w:szCs w:val="24"/>
        </w:rPr>
        <w:t>razões jurídicas</w:t>
      </w:r>
      <w:r>
        <w:rPr>
          <w:sz w:val="24"/>
          <w:szCs w:val="24"/>
        </w:rPr>
        <w:t xml:space="preserve"> ou </w:t>
      </w:r>
      <w:r w:rsidR="00EF0D50">
        <w:rPr>
          <w:sz w:val="24"/>
          <w:szCs w:val="24"/>
        </w:rPr>
        <w:t>por</w:t>
      </w:r>
      <w:r>
        <w:rPr>
          <w:sz w:val="24"/>
          <w:szCs w:val="24"/>
        </w:rPr>
        <w:t xml:space="preserve"> </w:t>
      </w:r>
      <w:r w:rsidR="00EF0D50">
        <w:rPr>
          <w:b/>
          <w:bCs/>
          <w:sz w:val="24"/>
          <w:szCs w:val="24"/>
        </w:rPr>
        <w:t xml:space="preserve">falta de </w:t>
      </w:r>
      <w:r w:rsidRPr="001F7088">
        <w:rPr>
          <w:b/>
          <w:sz w:val="24"/>
          <w:szCs w:val="24"/>
        </w:rPr>
        <w:t>interesse público</w:t>
      </w:r>
      <w:r>
        <w:rPr>
          <w:sz w:val="24"/>
          <w:szCs w:val="24"/>
        </w:rPr>
        <w:t xml:space="preserve">. No primeiro caso, o veto se fundamenta em possível inconstitucionalidade de natureza formal ou material, que pode prejudicar o projeto de lei na sua integralidade ou apenas </w:t>
      </w:r>
      <w:r>
        <w:rPr>
          <w:sz w:val="24"/>
          <w:szCs w:val="24"/>
        </w:rPr>
        <w:lastRenderedPageBreak/>
        <w:t>parcialmente. O veto parcial, na dicção do § 2º do art. 66 da CF/88, abrange texto integral de artigo, de parágrafo, de inciso ou de alínea.</w:t>
      </w:r>
      <w:r w:rsidR="008D4CD9">
        <w:rPr>
          <w:sz w:val="24"/>
          <w:szCs w:val="24"/>
        </w:rPr>
        <w:t xml:space="preserve"> No segundo caso, o veto </w:t>
      </w:r>
      <w:r w:rsidR="00EF0D50">
        <w:rPr>
          <w:sz w:val="24"/>
          <w:szCs w:val="24"/>
        </w:rPr>
        <w:t xml:space="preserve">fundamenta-se </w:t>
      </w:r>
      <w:r w:rsidR="008D4CD9">
        <w:rPr>
          <w:sz w:val="24"/>
          <w:szCs w:val="24"/>
        </w:rPr>
        <w:t>em inconveniência ao interesse público, pelo fato de a propos</w:t>
      </w:r>
      <w:r w:rsidR="00EF0D50">
        <w:rPr>
          <w:sz w:val="24"/>
          <w:szCs w:val="24"/>
        </w:rPr>
        <w:t>ta</w:t>
      </w:r>
      <w:r w:rsidR="008D4CD9">
        <w:rPr>
          <w:sz w:val="24"/>
          <w:szCs w:val="24"/>
        </w:rPr>
        <w:t xml:space="preserve"> não representar, efetivamente, as legítimas expectativas e interesses da coletividade.</w:t>
      </w:r>
    </w:p>
    <w:p w14:paraId="494D1313" w14:textId="77777777" w:rsidR="001F7088" w:rsidRDefault="001F7088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2CE1AC2D" w14:textId="77777777" w:rsidR="008D4CD9" w:rsidRDefault="008D4CD9" w:rsidP="008D4CD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Dessa forma</w:t>
      </w:r>
      <w:r w:rsidR="001F7088">
        <w:rPr>
          <w:sz w:val="24"/>
          <w:szCs w:val="24"/>
        </w:rPr>
        <w:t>, exsurgem, da Constituição Federal</w:t>
      </w:r>
      <w:r>
        <w:rPr>
          <w:sz w:val="24"/>
          <w:szCs w:val="24"/>
        </w:rPr>
        <w:t xml:space="preserve"> de 1988</w:t>
      </w:r>
      <w:r w:rsidR="001F7088">
        <w:rPr>
          <w:sz w:val="24"/>
          <w:szCs w:val="24"/>
        </w:rPr>
        <w:t xml:space="preserve">, os </w:t>
      </w:r>
      <w:r w:rsidR="001F7088">
        <w:rPr>
          <w:b/>
          <w:sz w:val="24"/>
          <w:szCs w:val="24"/>
        </w:rPr>
        <w:t>vetos jurídico e político</w:t>
      </w:r>
      <w:r w:rsidR="001F7088">
        <w:rPr>
          <w:sz w:val="24"/>
          <w:szCs w:val="24"/>
        </w:rPr>
        <w:t xml:space="preserve">, sendo o primeiro </w:t>
      </w:r>
      <w:r>
        <w:rPr>
          <w:sz w:val="24"/>
          <w:szCs w:val="24"/>
        </w:rPr>
        <w:t xml:space="preserve">relacionado a inconstitucionalidades formais ou materiais e o segundo relacionado à falta de interesse público. Nesses termos, considerando o disposto no art. 3º da Lei Municipal nº 3.687/2018, compete a esta Procuradoria Jurídica orientar os vereadores apenas quanto aos aspectos jurídicos das proposições, de modo que o presente parecer jurídico se circunscreverá </w:t>
      </w:r>
      <w:r w:rsidR="00C66A42">
        <w:rPr>
          <w:sz w:val="24"/>
          <w:szCs w:val="24"/>
        </w:rPr>
        <w:t xml:space="preserve">aos elementos que justifiquem </w:t>
      </w:r>
      <w:r w:rsidR="00713C51">
        <w:rPr>
          <w:sz w:val="24"/>
          <w:szCs w:val="24"/>
        </w:rPr>
        <w:t>o veto jurídico.</w:t>
      </w:r>
    </w:p>
    <w:p w14:paraId="6896FFE1" w14:textId="77777777" w:rsidR="00C66A42" w:rsidRDefault="00C66A42" w:rsidP="008D4CD9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03E34A29" w14:textId="40544172" w:rsidR="001F7088" w:rsidRDefault="00713C51" w:rsidP="00A169C6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3.2 DO VETO AO PROJETO DE LEI Nº </w:t>
      </w:r>
      <w:r w:rsidR="00EF0D50">
        <w:rPr>
          <w:b/>
          <w:sz w:val="24"/>
          <w:szCs w:val="24"/>
        </w:rPr>
        <w:t>009/2020</w:t>
      </w:r>
    </w:p>
    <w:p w14:paraId="41A0BE31" w14:textId="77777777" w:rsidR="00C66A42" w:rsidRDefault="00C66A42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7D6CC6FC" w14:textId="44B87240" w:rsidR="0027238D" w:rsidRDefault="00713C51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veto jurídico apresentado pelo Chefe do Poder Executivo fundamenta-se na </w:t>
      </w:r>
      <w:r w:rsidR="0027238D">
        <w:rPr>
          <w:sz w:val="24"/>
          <w:szCs w:val="24"/>
        </w:rPr>
        <w:t>possível violação ao princípio da proporcionalidade pela regra que prevê a instalação de placas em todas as residências que possuam cães, independentemente de serem agressivos ou não, além da impertinência da criação da outra regra (placas indicando a existência de cães bravos) por já existir norma estadual disciplinando as obrigações dos proprietários (Capítulo VI da Lei Estadual nº 15.363/2019).</w:t>
      </w:r>
    </w:p>
    <w:p w14:paraId="7303E726" w14:textId="77C79E34" w:rsidR="0027238D" w:rsidRDefault="0027238D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3E76194C" w14:textId="5D232D9C" w:rsidR="0027238D" w:rsidRDefault="004C4846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 parecer jurídico </w:t>
      </w:r>
      <w:r w:rsidR="00624049">
        <w:rPr>
          <w:sz w:val="24"/>
          <w:szCs w:val="24"/>
        </w:rPr>
        <w:t>elaborado</w:t>
      </w:r>
      <w:r>
        <w:rPr>
          <w:sz w:val="24"/>
          <w:szCs w:val="24"/>
        </w:rPr>
        <w:t xml:space="preserve"> pela Procuradoria da Câmara</w:t>
      </w:r>
      <w:r w:rsidR="0027238D">
        <w:rPr>
          <w:sz w:val="24"/>
          <w:szCs w:val="24"/>
        </w:rPr>
        <w:t xml:space="preserve"> por ocasião da primeira análise da proposição, </w:t>
      </w:r>
      <w:r>
        <w:rPr>
          <w:sz w:val="24"/>
          <w:szCs w:val="24"/>
        </w:rPr>
        <w:t xml:space="preserve">consta claramente </w:t>
      </w:r>
      <w:r w:rsidR="005F2E00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argumentação </w:t>
      </w:r>
      <w:r w:rsidR="0027238D">
        <w:rPr>
          <w:sz w:val="24"/>
          <w:szCs w:val="24"/>
        </w:rPr>
        <w:t>no sentido de que “a atual redação, como disposta na proposta original, acaba por obrigar todos os proprietários de cães a afixarem a placa, o que nos parece desproporcional, visto que nem todos os proprietários possuem cão bravo.” Ficou recomendada, assim, a redação da obrigação somente aos proprietários de cães bravos, visto que, do contrário, haveria possível afronta ao princípio da proporcionalidade. A sugestão não foi recebida pelo proponente, que no substitutivo novamente dispôs sobre a obrigação de o proprietário de qualquer cão fixar a placa indicativa.</w:t>
      </w:r>
    </w:p>
    <w:p w14:paraId="2999ACFD" w14:textId="078E2E4B" w:rsidR="0027238D" w:rsidRDefault="0027238D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7492B88D" w14:textId="23B0534D" w:rsidR="0027238D" w:rsidRDefault="0027238D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A respeito da vigência de lei estadual que </w:t>
      </w:r>
      <w:r w:rsidR="007E6F92">
        <w:rPr>
          <w:sz w:val="24"/>
          <w:szCs w:val="24"/>
        </w:rPr>
        <w:t>já disciplin</w:t>
      </w:r>
      <w:r w:rsidR="005E59DF">
        <w:rPr>
          <w:sz w:val="24"/>
          <w:szCs w:val="24"/>
        </w:rPr>
        <w:t>a</w:t>
      </w:r>
      <w:r w:rsidR="007E6F92">
        <w:rPr>
          <w:sz w:val="24"/>
          <w:szCs w:val="24"/>
        </w:rPr>
        <w:t xml:space="preserve"> as obrigações de proprietários de cães bravos em todo o território gaúcho, realmente o Capítulo VI da Lei Estadual nº 15.363/2019 dispõe sobre as regras envolvendo o assunto, assim reproduzidas:</w:t>
      </w:r>
    </w:p>
    <w:p w14:paraId="0D77FABF" w14:textId="4EDB1F18" w:rsidR="007E6F92" w:rsidRDefault="007E6F92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457F2B50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  <w:r w:rsidRPr="007E6F92">
        <w:rPr>
          <w:sz w:val="20"/>
          <w:szCs w:val="20"/>
        </w:rPr>
        <w:t>Art. 24. São obrigatórios, para o exercício regular da posse de cães das raças American Pit Bull Terrier, Fila, Rottweiler, Dobermann, Bull Terrier, Dog Argentino e demais raças afins, o registro do animal em órgão competente e a comprovação de seu adestramento e vacinação.</w:t>
      </w:r>
    </w:p>
    <w:p w14:paraId="2CCA427F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  <w:r w:rsidRPr="007E6F92">
        <w:rPr>
          <w:sz w:val="20"/>
          <w:szCs w:val="20"/>
        </w:rPr>
        <w:t>Parágrafo único. Os proprietários dos cães referidos no "caput" devem efetuar o registro de seus animais.</w:t>
      </w:r>
    </w:p>
    <w:p w14:paraId="6665C053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</w:p>
    <w:p w14:paraId="68902736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  <w:r w:rsidRPr="007E6F92">
        <w:rPr>
          <w:sz w:val="20"/>
          <w:szCs w:val="20"/>
        </w:rPr>
        <w:t>Art. 25. Os cães especificados nesta Lei somente poderão circular em logradouros públicos ou vias de circulação interna de condomínios se conduzidos por pessoas capazes e com guia curta - máximo 1,5 metros - munida de enforcador de aço e focinheira, que permita a normal respiração e transpiração do animal.</w:t>
      </w:r>
    </w:p>
    <w:p w14:paraId="30143CAA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  <w:r w:rsidRPr="007E6F92">
        <w:rPr>
          <w:sz w:val="20"/>
          <w:szCs w:val="20"/>
        </w:rPr>
        <w:t>§ 1º É vedada a permanência dos referidos animais em praças, jardins e parques públicos, e nas proximidades de unidades de ensino públicas e particulares.</w:t>
      </w:r>
    </w:p>
    <w:p w14:paraId="19BCA2D9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  <w:r w:rsidRPr="007E6F92">
        <w:rPr>
          <w:sz w:val="20"/>
          <w:szCs w:val="20"/>
        </w:rPr>
        <w:t>§ 2º O disposto neste artigo não se aplica aos cães pertencentes a órgãos oficiais, nem aos que estejam participando de exposições ou feiras licenciadas pelo Poder Público.</w:t>
      </w:r>
    </w:p>
    <w:p w14:paraId="74C0148D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</w:p>
    <w:p w14:paraId="07E16E7F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  <w:r w:rsidRPr="007E6F92">
        <w:rPr>
          <w:sz w:val="20"/>
          <w:szCs w:val="20"/>
        </w:rPr>
        <w:t>Art. 26. O não cumprimento do disposto nesta Lei acarretará ao infrator, proprietário e/ou condutor dos animais nela referidos, sanções que vierem a ser fixadas pelo órgão competente.</w:t>
      </w:r>
    </w:p>
    <w:p w14:paraId="5A49B53A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  <w:r w:rsidRPr="007E6F92">
        <w:rPr>
          <w:sz w:val="20"/>
          <w:szCs w:val="20"/>
        </w:rPr>
        <w:t>Parágrafo único. Constatada a inobservância de dispositivo desta Lei, qualquer pessoa poderá requisitar intervenção de força policial, sujeitando-se o infrator aos desígnios legais.</w:t>
      </w:r>
    </w:p>
    <w:p w14:paraId="58BA476A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</w:p>
    <w:p w14:paraId="7D528313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  <w:r w:rsidRPr="007E6F92">
        <w:rPr>
          <w:sz w:val="20"/>
          <w:szCs w:val="20"/>
        </w:rPr>
        <w:t>Art. 27. Para exercer a posse de outros cães considerados perigosos por sua força e agressividade, conforme vier a ser estabelecido em regulamento, deve-se observar o disposto nesta Lei.</w:t>
      </w:r>
    </w:p>
    <w:p w14:paraId="617B5A60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</w:p>
    <w:p w14:paraId="5446F30F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  <w:r w:rsidRPr="007E6F92">
        <w:rPr>
          <w:sz w:val="20"/>
          <w:szCs w:val="20"/>
        </w:rPr>
        <w:t>Art. 28. Todo cão que agredir uma pessoa será imediatamente enviado para avaliação de médico veterinário, a quem incumbirá elaborar laudo sobre a periculosidade do animal.</w:t>
      </w:r>
    </w:p>
    <w:p w14:paraId="40E76CA7" w14:textId="77777777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</w:p>
    <w:p w14:paraId="4744ADEA" w14:textId="09401338" w:rsidR="007E6F92" w:rsidRPr="007E6F92" w:rsidRDefault="007E6F92" w:rsidP="007E6F92">
      <w:pPr>
        <w:spacing w:after="0" w:line="240" w:lineRule="auto"/>
        <w:ind w:left="2268"/>
        <w:jc w:val="both"/>
        <w:rPr>
          <w:sz w:val="20"/>
          <w:szCs w:val="20"/>
        </w:rPr>
      </w:pPr>
      <w:r w:rsidRPr="007E6F92">
        <w:rPr>
          <w:sz w:val="20"/>
          <w:szCs w:val="20"/>
        </w:rPr>
        <w:t xml:space="preserve">Art. 29. </w:t>
      </w:r>
      <w:r w:rsidRPr="007E6F92">
        <w:rPr>
          <w:b/>
          <w:bCs/>
          <w:sz w:val="20"/>
          <w:szCs w:val="20"/>
        </w:rPr>
        <w:t>As residências e quaisquer estabelecimentos onde houver cães de guarda perigosos deverão ser guarnecidos com muros, grades de ferro, cercas e portões de segurança para garantir a tranquila circulação de pedestres, e sinalizados com placas indicativas, fixadas em local visível e de fácil leitura, para alertar da presença dos animais.</w:t>
      </w:r>
    </w:p>
    <w:p w14:paraId="0B51E0E3" w14:textId="5F2D0EF3" w:rsidR="0027238D" w:rsidRDefault="0027238D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1DF83701" w14:textId="1467FA11" w:rsidR="007E6F92" w:rsidRDefault="007E6F92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 efeito, já existe disciplina legal sobre o assunto em âmbito estadual, o que, se por um lado não impede a atividade legislativa municipal, por outro a condiciona a balizar-se segundo as regras do Estado do Rio Grande do Sul. Dessa forma, cabe ao Município de Guaíba unicamente </w:t>
      </w:r>
      <w:r w:rsidR="005E59DF">
        <w:rPr>
          <w:sz w:val="24"/>
          <w:szCs w:val="24"/>
        </w:rPr>
        <w:t>suplementar</w:t>
      </w:r>
      <w:r>
        <w:rPr>
          <w:sz w:val="24"/>
          <w:szCs w:val="24"/>
        </w:rPr>
        <w:t xml:space="preserve"> a aplicação das regras com vistas a satisfazer o interesse local (art. 30, inciso I, da CF/88), respeitando-se a disciplina estadual em vigor.</w:t>
      </w:r>
    </w:p>
    <w:p w14:paraId="62058FDE" w14:textId="31C0FBA7" w:rsidR="00F71BC3" w:rsidRDefault="007E6F92" w:rsidP="00F71BC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Nesse passo, a proposta legislativa municipal não suplementa a legislação estadual sobre o assunto, </w:t>
      </w:r>
      <w:r w:rsidR="005E59DF">
        <w:rPr>
          <w:sz w:val="24"/>
          <w:szCs w:val="24"/>
        </w:rPr>
        <w:t>pois</w:t>
      </w:r>
      <w:r>
        <w:rPr>
          <w:sz w:val="24"/>
          <w:szCs w:val="24"/>
        </w:rPr>
        <w:t xml:space="preserve"> traz disciplina mais abrangente que acaba por transbordar da mera complementação, </w:t>
      </w:r>
      <w:r w:rsidR="005E59DF">
        <w:rPr>
          <w:sz w:val="24"/>
          <w:szCs w:val="24"/>
        </w:rPr>
        <w:t xml:space="preserve">indo além da </w:t>
      </w:r>
      <w:r>
        <w:rPr>
          <w:sz w:val="24"/>
          <w:szCs w:val="24"/>
        </w:rPr>
        <w:t xml:space="preserve">regra estadual ao </w:t>
      </w:r>
      <w:r w:rsidR="005E59DF">
        <w:rPr>
          <w:sz w:val="24"/>
          <w:szCs w:val="24"/>
        </w:rPr>
        <w:t>buscar</w:t>
      </w:r>
      <w:r>
        <w:rPr>
          <w:sz w:val="24"/>
          <w:szCs w:val="24"/>
        </w:rPr>
        <w:t xml:space="preserve"> obrigar todos os proprietários de cães, independentemente da sua agressividade, a instalarem placas</w:t>
      </w:r>
      <w:r w:rsidR="007D46CE">
        <w:rPr>
          <w:sz w:val="24"/>
          <w:szCs w:val="24"/>
        </w:rPr>
        <w:t xml:space="preserve"> indicativas nas residências, medida já afirmada como desproporcional</w:t>
      </w:r>
      <w:r w:rsidR="005E59DF">
        <w:rPr>
          <w:sz w:val="24"/>
          <w:szCs w:val="24"/>
        </w:rPr>
        <w:t>.</w:t>
      </w:r>
    </w:p>
    <w:p w14:paraId="455FA193" w14:textId="00C64E36" w:rsidR="00E2785B" w:rsidRDefault="00E2785B" w:rsidP="00F71BC3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4EC82DA0" w14:textId="6C46892C" w:rsidR="00E2785B" w:rsidRDefault="00F71BC3" w:rsidP="00F71BC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Portanto, s</w:t>
      </w:r>
      <w:r w:rsidR="007D3918">
        <w:rPr>
          <w:sz w:val="24"/>
          <w:szCs w:val="24"/>
        </w:rPr>
        <w:t>em ingressar no mérito da</w:t>
      </w:r>
      <w:r>
        <w:rPr>
          <w:sz w:val="24"/>
          <w:szCs w:val="24"/>
        </w:rPr>
        <w:t xml:space="preserve"> proposição, pelo fato de </w:t>
      </w:r>
      <w:r w:rsidR="00E2785B">
        <w:rPr>
          <w:sz w:val="24"/>
          <w:szCs w:val="24"/>
        </w:rPr>
        <w:t xml:space="preserve">ter sido </w:t>
      </w:r>
      <w:r w:rsidR="005E59DF">
        <w:rPr>
          <w:sz w:val="24"/>
          <w:szCs w:val="24"/>
        </w:rPr>
        <w:t>criada</w:t>
      </w:r>
      <w:r w:rsidR="00E2785B">
        <w:rPr>
          <w:sz w:val="24"/>
          <w:szCs w:val="24"/>
        </w:rPr>
        <w:t xml:space="preserve"> uma obrigação desproporcional para os proprietários de cães </w:t>
      </w:r>
      <w:r w:rsidR="005E59DF">
        <w:rPr>
          <w:sz w:val="24"/>
          <w:szCs w:val="24"/>
        </w:rPr>
        <w:t>“</w:t>
      </w:r>
      <w:r w:rsidR="00E2785B">
        <w:rPr>
          <w:sz w:val="24"/>
          <w:szCs w:val="24"/>
        </w:rPr>
        <w:t>não bravos</w:t>
      </w:r>
      <w:r w:rsidR="005E59DF">
        <w:rPr>
          <w:sz w:val="24"/>
          <w:szCs w:val="24"/>
        </w:rPr>
        <w:t>”</w:t>
      </w:r>
      <w:r w:rsidR="00E2785B">
        <w:rPr>
          <w:sz w:val="24"/>
          <w:szCs w:val="24"/>
        </w:rPr>
        <w:t xml:space="preserve">, bem assim por já </w:t>
      </w:r>
      <w:r w:rsidR="005E59DF">
        <w:rPr>
          <w:sz w:val="24"/>
          <w:szCs w:val="24"/>
        </w:rPr>
        <w:t>existir uma</w:t>
      </w:r>
      <w:r w:rsidR="00E2785B">
        <w:rPr>
          <w:sz w:val="24"/>
          <w:szCs w:val="24"/>
        </w:rPr>
        <w:t xml:space="preserve"> disciplina estadual quanto aos cães bravos (Lei Estadual nº 15.363, de 2019), sem que o objetivo d</w:t>
      </w:r>
      <w:r w:rsidR="005E59DF">
        <w:rPr>
          <w:sz w:val="24"/>
          <w:szCs w:val="24"/>
        </w:rPr>
        <w:t xml:space="preserve">a proposição municipal seja </w:t>
      </w:r>
      <w:r w:rsidR="00E2785B">
        <w:rPr>
          <w:sz w:val="24"/>
          <w:szCs w:val="24"/>
        </w:rPr>
        <w:t>de suplementá-la</w:t>
      </w:r>
      <w:r w:rsidR="005E59DF">
        <w:rPr>
          <w:sz w:val="24"/>
          <w:szCs w:val="24"/>
        </w:rPr>
        <w:t>,</w:t>
      </w:r>
      <w:r w:rsidR="00E2785B">
        <w:rPr>
          <w:sz w:val="24"/>
          <w:szCs w:val="24"/>
        </w:rPr>
        <w:t xml:space="preserve"> </w:t>
      </w:r>
      <w:r w:rsidR="005E59DF">
        <w:rPr>
          <w:sz w:val="24"/>
          <w:szCs w:val="24"/>
        </w:rPr>
        <w:t xml:space="preserve">entende-se </w:t>
      </w:r>
      <w:r w:rsidR="00E2785B">
        <w:rPr>
          <w:sz w:val="24"/>
          <w:szCs w:val="24"/>
        </w:rPr>
        <w:t>juridicamente adequado o veto do Prefeito de Guaíba.</w:t>
      </w:r>
    </w:p>
    <w:p w14:paraId="2A9BB875" w14:textId="33003027" w:rsidR="00E2785B" w:rsidRDefault="00E2785B" w:rsidP="00F71BC3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0BD5C79D" w14:textId="77777777" w:rsidR="00F85172" w:rsidRPr="007037C8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7037C8">
        <w:rPr>
          <w:b/>
          <w:sz w:val="24"/>
          <w:szCs w:val="24"/>
        </w:rPr>
        <w:t>CONCLUSÃO</w:t>
      </w:r>
    </w:p>
    <w:p w14:paraId="23579B8B" w14:textId="77777777" w:rsidR="00F85172" w:rsidRPr="007037C8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14:paraId="72F6DE3D" w14:textId="59139D7B" w:rsidR="00856D27" w:rsidRDefault="00772946" w:rsidP="00D65548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Diante do exposto, </w:t>
      </w:r>
      <w:r w:rsidRPr="008030C6">
        <w:rPr>
          <w:b/>
          <w:sz w:val="24"/>
          <w:szCs w:val="24"/>
        </w:rPr>
        <w:t>respeitada a natureza opinativa do parecer jurídico, que não vincula, por si só, a manifestação das comissões permanentes e a convicção dos membros desta Câmara, e assegurada a soberania do Plenário</w:t>
      </w:r>
      <w:r>
        <w:rPr>
          <w:sz w:val="24"/>
          <w:szCs w:val="24"/>
        </w:rPr>
        <w:t xml:space="preserve">, a Procuradoria </w:t>
      </w:r>
      <w:r w:rsidR="00856D27" w:rsidRPr="007037C8">
        <w:rPr>
          <w:b/>
          <w:sz w:val="24"/>
          <w:szCs w:val="24"/>
        </w:rPr>
        <w:t xml:space="preserve">opina </w:t>
      </w:r>
      <w:r w:rsidR="00856D27" w:rsidRPr="007037C8">
        <w:rPr>
          <w:sz w:val="24"/>
          <w:szCs w:val="24"/>
        </w:rPr>
        <w:t>pel</w:t>
      </w:r>
      <w:r w:rsidR="00E2785B">
        <w:rPr>
          <w:sz w:val="24"/>
          <w:szCs w:val="24"/>
        </w:rPr>
        <w:t>o acolhimento do veto total ao Projeto de Lei nº 009/2020.</w:t>
      </w:r>
    </w:p>
    <w:p w14:paraId="03B8B397" w14:textId="77777777" w:rsidR="00856D27" w:rsidRDefault="00856D27" w:rsidP="00206928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5FCE4AD8" w14:textId="77777777" w:rsidR="00856D27" w:rsidRDefault="00856D27" w:rsidP="0020692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14:paraId="081A3A02" w14:textId="77777777" w:rsidR="00856D27" w:rsidRDefault="00856D27" w:rsidP="00856D27">
      <w:pPr>
        <w:spacing w:after="0" w:line="360" w:lineRule="auto"/>
        <w:jc w:val="both"/>
        <w:rPr>
          <w:sz w:val="24"/>
          <w:szCs w:val="24"/>
        </w:rPr>
      </w:pPr>
    </w:p>
    <w:p w14:paraId="713003AA" w14:textId="1AD57739" w:rsidR="005D581E" w:rsidRDefault="00856D27" w:rsidP="00856D27">
      <w:pPr>
        <w:spacing w:after="0" w:line="360" w:lineRule="auto"/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E2785B">
        <w:rPr>
          <w:sz w:val="24"/>
          <w:szCs w:val="24"/>
        </w:rPr>
        <w:t>11 de agosto de 2020</w:t>
      </w:r>
      <w:r w:rsidR="00D65548">
        <w:rPr>
          <w:sz w:val="24"/>
          <w:szCs w:val="24"/>
        </w:rPr>
        <w:t>.</w:t>
      </w:r>
    </w:p>
    <w:p w14:paraId="5A097FA7" w14:textId="77777777" w:rsidR="00856D27" w:rsidRDefault="00856D27" w:rsidP="00856D27">
      <w:pPr>
        <w:spacing w:after="0" w:line="360" w:lineRule="auto"/>
        <w:jc w:val="center"/>
        <w:rPr>
          <w:b/>
          <w:sz w:val="24"/>
          <w:szCs w:val="24"/>
        </w:rPr>
      </w:pPr>
    </w:p>
    <w:p w14:paraId="3972FCEA" w14:textId="77777777" w:rsidR="00856D27" w:rsidRDefault="00856D27" w:rsidP="00856D27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14:paraId="0B5D6F48" w14:textId="77777777" w:rsidR="00856D27" w:rsidRDefault="00856D27" w:rsidP="00856D27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14:paraId="1A82E192" w14:textId="77777777" w:rsidR="00856D27" w:rsidRPr="00856D27" w:rsidRDefault="00856D27" w:rsidP="00856D27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856D27" w:rsidRPr="00856D27" w:rsidSect="00C9671D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345C3D" w14:textId="77777777" w:rsidR="00F374D0" w:rsidRDefault="00F374D0" w:rsidP="00B365A3">
      <w:pPr>
        <w:spacing w:after="0" w:line="240" w:lineRule="auto"/>
      </w:pPr>
      <w:r>
        <w:separator/>
      </w:r>
    </w:p>
  </w:endnote>
  <w:endnote w:type="continuationSeparator" w:id="0">
    <w:p w14:paraId="1176B0D9" w14:textId="77777777" w:rsidR="00F374D0" w:rsidRDefault="00F374D0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4942DC" w14:textId="77777777" w:rsidR="00F374D0" w:rsidRDefault="00F374D0" w:rsidP="00B365A3">
      <w:pPr>
        <w:spacing w:after="0" w:line="240" w:lineRule="auto"/>
      </w:pPr>
      <w:r>
        <w:separator/>
      </w:r>
    </w:p>
  </w:footnote>
  <w:footnote w:type="continuationSeparator" w:id="0">
    <w:p w14:paraId="72111526" w14:textId="77777777" w:rsidR="00F374D0" w:rsidRDefault="00F374D0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E8878" w14:textId="77777777"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63EB454F" wp14:editId="53CEDAA3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5D3C8B"/>
    <w:multiLevelType w:val="multilevel"/>
    <w:tmpl w:val="7BBA287E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1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7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7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3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5A3"/>
    <w:rsid w:val="00026106"/>
    <w:rsid w:val="00032713"/>
    <w:rsid w:val="00036BC1"/>
    <w:rsid w:val="000714D3"/>
    <w:rsid w:val="0008289C"/>
    <w:rsid w:val="000B2228"/>
    <w:rsid w:val="00104EAA"/>
    <w:rsid w:val="00110DB4"/>
    <w:rsid w:val="001144C0"/>
    <w:rsid w:val="0013707C"/>
    <w:rsid w:val="0014022D"/>
    <w:rsid w:val="001625CA"/>
    <w:rsid w:val="00187184"/>
    <w:rsid w:val="001F5FE9"/>
    <w:rsid w:val="001F6BDB"/>
    <w:rsid w:val="001F7088"/>
    <w:rsid w:val="00206928"/>
    <w:rsid w:val="002406C4"/>
    <w:rsid w:val="00240C04"/>
    <w:rsid w:val="002460A3"/>
    <w:rsid w:val="002577E1"/>
    <w:rsid w:val="00257E31"/>
    <w:rsid w:val="0027238D"/>
    <w:rsid w:val="002C167C"/>
    <w:rsid w:val="002D6E85"/>
    <w:rsid w:val="003617F4"/>
    <w:rsid w:val="003D58CA"/>
    <w:rsid w:val="003D629C"/>
    <w:rsid w:val="003E0914"/>
    <w:rsid w:val="003F7AC0"/>
    <w:rsid w:val="0041616C"/>
    <w:rsid w:val="004303E8"/>
    <w:rsid w:val="00432D1C"/>
    <w:rsid w:val="004725D2"/>
    <w:rsid w:val="0047655F"/>
    <w:rsid w:val="004C4846"/>
    <w:rsid w:val="004E1F69"/>
    <w:rsid w:val="004F2927"/>
    <w:rsid w:val="00547BC4"/>
    <w:rsid w:val="005707B6"/>
    <w:rsid w:val="00576E92"/>
    <w:rsid w:val="00577B06"/>
    <w:rsid w:val="005C1195"/>
    <w:rsid w:val="005D581E"/>
    <w:rsid w:val="005E59DF"/>
    <w:rsid w:val="005F2E00"/>
    <w:rsid w:val="005F4889"/>
    <w:rsid w:val="00601816"/>
    <w:rsid w:val="00603D1A"/>
    <w:rsid w:val="00624049"/>
    <w:rsid w:val="006253C5"/>
    <w:rsid w:val="00631E27"/>
    <w:rsid w:val="00684737"/>
    <w:rsid w:val="00691044"/>
    <w:rsid w:val="007037C8"/>
    <w:rsid w:val="0071024F"/>
    <w:rsid w:val="00713C51"/>
    <w:rsid w:val="00725DFE"/>
    <w:rsid w:val="00731E02"/>
    <w:rsid w:val="00742FD6"/>
    <w:rsid w:val="0076734D"/>
    <w:rsid w:val="00772946"/>
    <w:rsid w:val="007740F2"/>
    <w:rsid w:val="00784C1B"/>
    <w:rsid w:val="007854E6"/>
    <w:rsid w:val="007B149E"/>
    <w:rsid w:val="007C444A"/>
    <w:rsid w:val="007D3918"/>
    <w:rsid w:val="007D46CE"/>
    <w:rsid w:val="007E55B7"/>
    <w:rsid w:val="007E6F92"/>
    <w:rsid w:val="008030C6"/>
    <w:rsid w:val="00811016"/>
    <w:rsid w:val="008138B2"/>
    <w:rsid w:val="008165C9"/>
    <w:rsid w:val="00820BFB"/>
    <w:rsid w:val="008426D4"/>
    <w:rsid w:val="00845AED"/>
    <w:rsid w:val="00847C81"/>
    <w:rsid w:val="00856D27"/>
    <w:rsid w:val="00864D77"/>
    <w:rsid w:val="0089327C"/>
    <w:rsid w:val="0089606D"/>
    <w:rsid w:val="008A02A8"/>
    <w:rsid w:val="008A79E4"/>
    <w:rsid w:val="008B6B22"/>
    <w:rsid w:val="008C59FA"/>
    <w:rsid w:val="008D4CD9"/>
    <w:rsid w:val="00905B60"/>
    <w:rsid w:val="009075FE"/>
    <w:rsid w:val="00933451"/>
    <w:rsid w:val="00953A32"/>
    <w:rsid w:val="00955334"/>
    <w:rsid w:val="00965DF3"/>
    <w:rsid w:val="009677B1"/>
    <w:rsid w:val="009762CB"/>
    <w:rsid w:val="00987C71"/>
    <w:rsid w:val="009A1232"/>
    <w:rsid w:val="009B7D3B"/>
    <w:rsid w:val="009C3775"/>
    <w:rsid w:val="009D6D97"/>
    <w:rsid w:val="009E03A3"/>
    <w:rsid w:val="009F2D0B"/>
    <w:rsid w:val="00A169C6"/>
    <w:rsid w:val="00A403C0"/>
    <w:rsid w:val="00A77DF1"/>
    <w:rsid w:val="00A808BC"/>
    <w:rsid w:val="00A91A8F"/>
    <w:rsid w:val="00AA383D"/>
    <w:rsid w:val="00AF6E8B"/>
    <w:rsid w:val="00B074D9"/>
    <w:rsid w:val="00B31D5E"/>
    <w:rsid w:val="00B365A3"/>
    <w:rsid w:val="00BB5473"/>
    <w:rsid w:val="00BE5906"/>
    <w:rsid w:val="00BE61A5"/>
    <w:rsid w:val="00C12338"/>
    <w:rsid w:val="00C27D78"/>
    <w:rsid w:val="00C42492"/>
    <w:rsid w:val="00C43581"/>
    <w:rsid w:val="00C66A42"/>
    <w:rsid w:val="00C7445E"/>
    <w:rsid w:val="00C9671D"/>
    <w:rsid w:val="00CA5BAA"/>
    <w:rsid w:val="00D6372E"/>
    <w:rsid w:val="00D65548"/>
    <w:rsid w:val="00D76F03"/>
    <w:rsid w:val="00D90096"/>
    <w:rsid w:val="00DA0762"/>
    <w:rsid w:val="00DA7A73"/>
    <w:rsid w:val="00DC0FFE"/>
    <w:rsid w:val="00DF44A8"/>
    <w:rsid w:val="00E003C1"/>
    <w:rsid w:val="00E16C63"/>
    <w:rsid w:val="00E2785B"/>
    <w:rsid w:val="00E501C1"/>
    <w:rsid w:val="00E5368A"/>
    <w:rsid w:val="00E772D1"/>
    <w:rsid w:val="00E82A6B"/>
    <w:rsid w:val="00EF0D50"/>
    <w:rsid w:val="00F00312"/>
    <w:rsid w:val="00F00E14"/>
    <w:rsid w:val="00F05045"/>
    <w:rsid w:val="00F1710C"/>
    <w:rsid w:val="00F25243"/>
    <w:rsid w:val="00F374D0"/>
    <w:rsid w:val="00F6334E"/>
    <w:rsid w:val="00F6465F"/>
    <w:rsid w:val="00F71BC3"/>
    <w:rsid w:val="00F85172"/>
    <w:rsid w:val="00F94625"/>
    <w:rsid w:val="00FC418D"/>
    <w:rsid w:val="00FD4442"/>
    <w:rsid w:val="00FE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7F599"/>
  <w15:docId w15:val="{E2A14DB6-C6C8-4A08-96BB-715544DD7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DFDFE-4768-4A4D-B412-1ED3F87A6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1611</Words>
  <Characters>8701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 Dobler</cp:lastModifiedBy>
  <cp:revision>4</cp:revision>
  <cp:lastPrinted>2019-08-12T15:27:00Z</cp:lastPrinted>
  <dcterms:created xsi:type="dcterms:W3CDTF">2020-08-11T17:27:00Z</dcterms:created>
  <dcterms:modified xsi:type="dcterms:W3CDTF">2020-08-11T17:53:00Z</dcterms:modified>
</cp:coreProperties>
</file>