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E501C1" w:rsidRDefault="008138B2" w:rsidP="003F61CA">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E501C1">
        <w:rPr>
          <w:b/>
          <w:sz w:val="24"/>
          <w:szCs w:val="24"/>
        </w:rPr>
        <w:t>PARECER JURÍDICO</w:t>
      </w:r>
      <w:r w:rsidR="003F61CA">
        <w:rPr>
          <w:b/>
          <w:sz w:val="24"/>
          <w:szCs w:val="24"/>
        </w:rPr>
        <w:t xml:space="preserve"> Nº </w:t>
      </w:r>
      <w:r w:rsidR="00C80D0C">
        <w:rPr>
          <w:b/>
          <w:sz w:val="24"/>
          <w:szCs w:val="24"/>
        </w:rPr>
        <w:t>223</w:t>
      </w:r>
      <w:r w:rsidR="00EC20BC">
        <w:rPr>
          <w:b/>
          <w:sz w:val="24"/>
          <w:szCs w:val="24"/>
        </w:rPr>
        <w:t>/2021</w:t>
      </w:r>
    </w:p>
    <w:p w:rsidR="00650D2A" w:rsidRPr="00E501C1" w:rsidRDefault="00650D2A" w:rsidP="008138B2">
      <w:pPr>
        <w:spacing w:after="0" w:line="360" w:lineRule="auto"/>
        <w:jc w:val="center"/>
        <w:rPr>
          <w:b/>
          <w:sz w:val="24"/>
          <w:szCs w:val="24"/>
        </w:rPr>
      </w:pPr>
    </w:p>
    <w:p w:rsidR="008138B2" w:rsidRPr="00E501C1" w:rsidRDefault="00F85172" w:rsidP="008138B2">
      <w:pPr>
        <w:pStyle w:val="PargrafodaLista"/>
        <w:numPr>
          <w:ilvl w:val="0"/>
          <w:numId w:val="1"/>
        </w:numPr>
        <w:spacing w:after="0" w:line="360" w:lineRule="auto"/>
        <w:jc w:val="both"/>
        <w:rPr>
          <w:b/>
          <w:sz w:val="24"/>
          <w:szCs w:val="24"/>
        </w:rPr>
      </w:pPr>
      <w:r w:rsidRPr="00E501C1">
        <w:rPr>
          <w:b/>
          <w:sz w:val="24"/>
          <w:szCs w:val="24"/>
        </w:rPr>
        <w:t>RELATÓRIO</w:t>
      </w:r>
    </w:p>
    <w:p w:rsidR="008138B2" w:rsidRPr="00E501C1" w:rsidRDefault="008138B2" w:rsidP="008138B2">
      <w:pPr>
        <w:spacing w:after="0" w:line="360" w:lineRule="auto"/>
        <w:jc w:val="both"/>
        <w:rPr>
          <w:b/>
          <w:sz w:val="24"/>
          <w:szCs w:val="24"/>
        </w:rPr>
      </w:pPr>
    </w:p>
    <w:p w:rsidR="008138B2" w:rsidRDefault="00371666" w:rsidP="008138B2">
      <w:pPr>
        <w:spacing w:after="0" w:line="360" w:lineRule="auto"/>
        <w:ind w:firstLine="1134"/>
        <w:jc w:val="both"/>
        <w:rPr>
          <w:sz w:val="24"/>
          <w:szCs w:val="24"/>
        </w:rPr>
      </w:pPr>
      <w:r>
        <w:rPr>
          <w:sz w:val="24"/>
          <w:szCs w:val="24"/>
        </w:rPr>
        <w:t>O Vereador</w:t>
      </w:r>
      <w:r w:rsidR="001D262F">
        <w:rPr>
          <w:sz w:val="24"/>
          <w:szCs w:val="24"/>
        </w:rPr>
        <w:t xml:space="preserve"> Ale Alves </w:t>
      </w:r>
      <w:r w:rsidRPr="00E501C1">
        <w:rPr>
          <w:sz w:val="24"/>
          <w:szCs w:val="24"/>
        </w:rPr>
        <w:t xml:space="preserve">apresentou o Projeto de Lei nº </w:t>
      </w:r>
      <w:r w:rsidR="008D13AB">
        <w:rPr>
          <w:sz w:val="24"/>
          <w:szCs w:val="24"/>
        </w:rPr>
        <w:t>074</w:t>
      </w:r>
      <w:r w:rsidR="003F61CA">
        <w:rPr>
          <w:sz w:val="24"/>
          <w:szCs w:val="24"/>
        </w:rPr>
        <w:t>/202</w:t>
      </w:r>
      <w:r w:rsidR="00EC20BC">
        <w:rPr>
          <w:sz w:val="24"/>
          <w:szCs w:val="24"/>
        </w:rPr>
        <w:t>1</w:t>
      </w:r>
      <w:r>
        <w:rPr>
          <w:sz w:val="24"/>
          <w:szCs w:val="24"/>
        </w:rPr>
        <w:t xml:space="preserve"> </w:t>
      </w:r>
      <w:r w:rsidRPr="00E501C1">
        <w:rPr>
          <w:sz w:val="24"/>
          <w:szCs w:val="24"/>
        </w:rPr>
        <w:t>à Câmara Munic</w:t>
      </w:r>
      <w:r w:rsidRPr="00E501C1">
        <w:rPr>
          <w:sz w:val="24"/>
          <w:szCs w:val="24"/>
        </w:rPr>
        <w:t>i</w:t>
      </w:r>
      <w:r w:rsidRPr="00E501C1">
        <w:rPr>
          <w:sz w:val="24"/>
          <w:szCs w:val="24"/>
        </w:rPr>
        <w:t xml:space="preserve">pal, </w:t>
      </w:r>
      <w:r w:rsidR="003F61CA">
        <w:rPr>
          <w:sz w:val="24"/>
          <w:szCs w:val="24"/>
        </w:rPr>
        <w:t>que</w:t>
      </w:r>
      <w:r w:rsidR="008D13AB">
        <w:rPr>
          <w:sz w:val="24"/>
          <w:szCs w:val="24"/>
        </w:rPr>
        <w:t xml:space="preserve"> institui, no Município de Guaíba, a Declaração dos Direitos dos Animais</w:t>
      </w:r>
      <w:r w:rsidR="00EC20BC">
        <w:rPr>
          <w:sz w:val="24"/>
          <w:szCs w:val="24"/>
        </w:rPr>
        <w:t xml:space="preserve">. </w:t>
      </w:r>
      <w:r w:rsidR="003F61CA">
        <w:rPr>
          <w:sz w:val="24"/>
          <w:szCs w:val="24"/>
        </w:rPr>
        <w:t>A</w:t>
      </w:r>
      <w:r w:rsidR="009C7FE3">
        <w:rPr>
          <w:sz w:val="24"/>
          <w:szCs w:val="24"/>
        </w:rPr>
        <w:t xml:space="preserve"> pro</w:t>
      </w:r>
      <w:r w:rsidR="003F61CA">
        <w:rPr>
          <w:sz w:val="24"/>
          <w:szCs w:val="24"/>
        </w:rPr>
        <w:t>pos</w:t>
      </w:r>
      <w:r w:rsidR="003F61CA">
        <w:rPr>
          <w:sz w:val="24"/>
          <w:szCs w:val="24"/>
        </w:rPr>
        <w:t>i</w:t>
      </w:r>
      <w:r w:rsidR="003F61CA">
        <w:rPr>
          <w:sz w:val="24"/>
          <w:szCs w:val="24"/>
        </w:rPr>
        <w:t>ção</w:t>
      </w:r>
      <w:r w:rsidR="009C7FE3">
        <w:rPr>
          <w:sz w:val="24"/>
          <w:szCs w:val="24"/>
        </w:rPr>
        <w:t xml:space="preserve"> foi encaminhada à Procuradoria pela Presidência da Câmara para análise nos termos do art</w:t>
      </w:r>
      <w:r w:rsidR="00EC20BC">
        <w:rPr>
          <w:sz w:val="24"/>
          <w:szCs w:val="24"/>
        </w:rPr>
        <w:t>.</w:t>
      </w:r>
      <w:r w:rsidR="009C7FE3">
        <w:rPr>
          <w:sz w:val="24"/>
          <w:szCs w:val="24"/>
        </w:rPr>
        <w:t xml:space="preserve"> 105 do Regimento Interno.</w:t>
      </w:r>
      <w:r w:rsidR="00592669">
        <w:rPr>
          <w:sz w:val="24"/>
          <w:szCs w:val="24"/>
        </w:rPr>
        <w:t xml:space="preserve"> O proponente apresentou </w:t>
      </w:r>
      <w:r w:rsidR="008D13AB">
        <w:rPr>
          <w:sz w:val="24"/>
          <w:szCs w:val="24"/>
        </w:rPr>
        <w:t xml:space="preserve">um </w:t>
      </w:r>
      <w:r w:rsidR="00592669">
        <w:rPr>
          <w:sz w:val="24"/>
          <w:szCs w:val="24"/>
        </w:rPr>
        <w:t>substitutivo, entregue à Proc</w:t>
      </w:r>
      <w:r w:rsidR="00592669">
        <w:rPr>
          <w:sz w:val="24"/>
          <w:szCs w:val="24"/>
        </w:rPr>
        <w:t>u</w:t>
      </w:r>
      <w:r w:rsidR="00592669">
        <w:rPr>
          <w:sz w:val="24"/>
          <w:szCs w:val="24"/>
        </w:rPr>
        <w:t>radoria para análise jurídica.</w:t>
      </w:r>
      <w:r w:rsidR="00C80D0C">
        <w:rPr>
          <w:sz w:val="24"/>
          <w:szCs w:val="24"/>
        </w:rPr>
        <w:t xml:space="preserve"> O parecer jurídico foi conclusivo no sentido da constitucional</w:t>
      </w:r>
      <w:r w:rsidR="00C80D0C">
        <w:rPr>
          <w:sz w:val="24"/>
          <w:szCs w:val="24"/>
        </w:rPr>
        <w:t>i</w:t>
      </w:r>
      <w:r w:rsidR="00C80D0C">
        <w:rPr>
          <w:sz w:val="24"/>
          <w:szCs w:val="24"/>
        </w:rPr>
        <w:t>dade da proposta. O proponente, a pedido da Comissão de Constituição, Justiça e Redação, apresentou novamente um substitutivo, que foi encaminhado à Procuradoria para análise.</w:t>
      </w:r>
    </w:p>
    <w:p w:rsidR="00371666" w:rsidRPr="00E501C1" w:rsidRDefault="00371666" w:rsidP="008138B2">
      <w:pPr>
        <w:spacing w:after="0" w:line="360" w:lineRule="auto"/>
        <w:ind w:firstLine="1134"/>
        <w:jc w:val="both"/>
        <w:rPr>
          <w:sz w:val="24"/>
          <w:szCs w:val="24"/>
        </w:rPr>
      </w:pPr>
    </w:p>
    <w:p w:rsidR="008138B2" w:rsidRPr="00E501C1" w:rsidRDefault="009C7FE3" w:rsidP="008138B2">
      <w:pPr>
        <w:pStyle w:val="PargrafodaLista"/>
        <w:numPr>
          <w:ilvl w:val="0"/>
          <w:numId w:val="1"/>
        </w:numPr>
        <w:spacing w:after="0" w:line="360" w:lineRule="auto"/>
        <w:jc w:val="both"/>
        <w:rPr>
          <w:b/>
          <w:sz w:val="24"/>
          <w:szCs w:val="24"/>
        </w:rPr>
      </w:pPr>
      <w:r>
        <w:rPr>
          <w:b/>
          <w:sz w:val="24"/>
          <w:szCs w:val="24"/>
        </w:rPr>
        <w:t>MÉRITO</w:t>
      </w:r>
    </w:p>
    <w:p w:rsidR="008138B2" w:rsidRPr="00E501C1" w:rsidRDefault="008138B2" w:rsidP="008138B2">
      <w:pPr>
        <w:spacing w:after="0" w:line="360" w:lineRule="auto"/>
        <w:jc w:val="both"/>
        <w:rPr>
          <w:b/>
          <w:sz w:val="24"/>
          <w:szCs w:val="24"/>
        </w:rPr>
      </w:pPr>
    </w:p>
    <w:p w:rsidR="006F30DB" w:rsidRDefault="006F30DB" w:rsidP="006F30DB">
      <w:pPr>
        <w:spacing w:after="0" w:line="360" w:lineRule="auto"/>
        <w:ind w:firstLine="1134"/>
        <w:jc w:val="both"/>
        <w:rPr>
          <w:rFonts w:cs="Times New Roman"/>
          <w:sz w:val="24"/>
          <w:szCs w:val="24"/>
        </w:rPr>
      </w:pPr>
      <w:r>
        <w:rPr>
          <w:sz w:val="24"/>
          <w:szCs w:val="24"/>
        </w:rPr>
        <w:t xml:space="preserve">De fato, a norma inscrita no art. 105 do Regimento Interno da Câmara Municipal outorga ao Presidente do Legislativo a possibilidade de devolução ao autor de proposições maculadas por </w:t>
      </w:r>
      <w:r w:rsidRPr="0092182F">
        <w:rPr>
          <w:b/>
          <w:sz w:val="24"/>
          <w:szCs w:val="24"/>
        </w:rPr>
        <w:t>manifesta</w:t>
      </w:r>
      <w:r>
        <w:rPr>
          <w:sz w:val="24"/>
          <w:szCs w:val="24"/>
        </w:rPr>
        <w:t xml:space="preserve"> inconstitucionalidade (art. 105, II), alheias à competência da C</w:t>
      </w:r>
      <w:r>
        <w:rPr>
          <w:sz w:val="24"/>
          <w:szCs w:val="24"/>
        </w:rPr>
        <w:t>â</w:t>
      </w:r>
      <w:r>
        <w:rPr>
          <w:sz w:val="24"/>
          <w:szCs w:val="24"/>
        </w:rPr>
        <w:t>mara (art. 105, I) ou de caráter pessoal (art. 105, III)</w:t>
      </w:r>
      <w:r w:rsidRPr="00DD7F66">
        <w:rPr>
          <w:rFonts w:cs="Times New Roman"/>
          <w:sz w:val="24"/>
          <w:szCs w:val="24"/>
        </w:rPr>
        <w:t>.</w:t>
      </w:r>
      <w:r>
        <w:rPr>
          <w:rFonts w:cs="Times New Roman"/>
          <w:sz w:val="24"/>
          <w:szCs w:val="24"/>
        </w:rPr>
        <w:t xml:space="preserve"> Solução similar é encontrada no Reg</w:t>
      </w:r>
      <w:r>
        <w:rPr>
          <w:rFonts w:cs="Times New Roman"/>
          <w:sz w:val="24"/>
          <w:szCs w:val="24"/>
        </w:rPr>
        <w:t>i</w:t>
      </w:r>
      <w:r>
        <w:rPr>
          <w:rFonts w:cs="Times New Roman"/>
          <w:sz w:val="24"/>
          <w:szCs w:val="24"/>
        </w:rPr>
        <w:t>mento Interno da Câmara dos Deputados (art. 137, § 1º</w:t>
      </w:r>
      <w:r w:rsidRPr="006F6548">
        <w:rPr>
          <w:rFonts w:cs="Times New Roman"/>
          <w:sz w:val="24"/>
          <w:szCs w:val="24"/>
        </w:rPr>
        <w:t>)</w:t>
      </w:r>
      <w:r>
        <w:rPr>
          <w:rFonts w:cs="Times New Roman"/>
          <w:sz w:val="24"/>
          <w:szCs w:val="24"/>
        </w:rPr>
        <w:t xml:space="preserve"> – parlamento em que o controle vem sendo exercido –, no Regimento Interno do Senado Federal (art. 48, XI – em que a sol</w:t>
      </w:r>
      <w:r>
        <w:rPr>
          <w:rFonts w:cs="Times New Roman"/>
          <w:sz w:val="24"/>
          <w:szCs w:val="24"/>
        </w:rPr>
        <w:t>u</w:t>
      </w:r>
      <w:r>
        <w:rPr>
          <w:rFonts w:cs="Times New Roman"/>
          <w:sz w:val="24"/>
          <w:szCs w:val="24"/>
        </w:rPr>
        <w:t>ção é o arquivamento) e em diversos outros regimentos de casas legislativas pátrias.</w:t>
      </w:r>
    </w:p>
    <w:p w:rsidR="006F30DB" w:rsidRDefault="006F30DB" w:rsidP="006F30DB">
      <w:pPr>
        <w:spacing w:after="0" w:line="360" w:lineRule="auto"/>
        <w:ind w:firstLine="1134"/>
        <w:jc w:val="both"/>
        <w:rPr>
          <w:rFonts w:cs="Times New Roman"/>
          <w:sz w:val="24"/>
          <w:szCs w:val="24"/>
        </w:rPr>
      </w:pPr>
    </w:p>
    <w:p w:rsidR="006F30DB" w:rsidRDefault="006F30DB" w:rsidP="006F30DB">
      <w:pPr>
        <w:spacing w:after="0" w:line="360" w:lineRule="auto"/>
        <w:ind w:firstLine="1134"/>
        <w:jc w:val="both"/>
        <w:rPr>
          <w:sz w:val="24"/>
          <w:szCs w:val="24"/>
        </w:rPr>
      </w:pPr>
      <w:r>
        <w:rPr>
          <w:sz w:val="24"/>
          <w:szCs w:val="24"/>
        </w:rPr>
        <w:t>A doutrina trata do sentido da norma jurídica inscrita no art. 105 do Regimento Interno caracterizando-o como o instituto do controle de constitucionalidade político ou preventivo, sendo tal controle exercido dentro do Parlamento, através de exame superficial pela Presidência da Mesa Diretora, considerado controle preventivo de constitucionalidade interno, antes que a proposição possa percorrer o trâmite legislativo. Via de regra, a devol</w:t>
      </w:r>
      <w:r>
        <w:rPr>
          <w:sz w:val="24"/>
          <w:szCs w:val="24"/>
        </w:rPr>
        <w:t>u</w:t>
      </w:r>
      <w:r>
        <w:rPr>
          <w:sz w:val="24"/>
          <w:szCs w:val="24"/>
        </w:rPr>
        <w:t>ção se perfaz por despacho fundamentado da Presidência, indicando o artigo constitucional violado, podendo o autor recorrer da decisão ao Plenário (art. 105, parágrafo único).</w:t>
      </w:r>
    </w:p>
    <w:p w:rsidR="006F30DB" w:rsidRDefault="006F30DB" w:rsidP="006F30DB">
      <w:pPr>
        <w:spacing w:after="0" w:line="360" w:lineRule="auto"/>
        <w:ind w:firstLine="1134"/>
        <w:jc w:val="both"/>
        <w:rPr>
          <w:sz w:val="24"/>
          <w:szCs w:val="24"/>
        </w:rPr>
      </w:pPr>
    </w:p>
    <w:p w:rsidR="006F30DB" w:rsidRDefault="006F30DB" w:rsidP="006F30DB">
      <w:pPr>
        <w:spacing w:after="0" w:line="360" w:lineRule="auto"/>
        <w:ind w:firstLine="1134"/>
        <w:jc w:val="both"/>
        <w:rPr>
          <w:sz w:val="24"/>
          <w:szCs w:val="24"/>
        </w:rPr>
      </w:pPr>
      <w:r>
        <w:rPr>
          <w:sz w:val="24"/>
          <w:szCs w:val="24"/>
        </w:rPr>
        <w:lastRenderedPageBreak/>
        <w:t>A forma federativa de Estado adotada pelo Brasil na CF/88 implica, entre outras consequências, a distribuição de competências materiais e legislativas a todos os entes que a compõem, de acordo com o critério da predominância do interesse: as matérias de interesse geral devem ser atribuídas à União; as de interesse regional devem ser entregues aos Est</w:t>
      </w:r>
      <w:r>
        <w:rPr>
          <w:sz w:val="24"/>
          <w:szCs w:val="24"/>
        </w:rPr>
        <w:t>a</w:t>
      </w:r>
      <w:r>
        <w:rPr>
          <w:sz w:val="24"/>
          <w:szCs w:val="24"/>
        </w:rPr>
        <w:t>dos e ao DF; as de interesse local, por fim, aos Municípios.</w:t>
      </w:r>
    </w:p>
    <w:p w:rsidR="006F30DB" w:rsidRDefault="006F30DB" w:rsidP="006F30DB">
      <w:pPr>
        <w:spacing w:after="0" w:line="360" w:lineRule="auto"/>
        <w:ind w:firstLine="1134"/>
        <w:jc w:val="both"/>
        <w:rPr>
          <w:sz w:val="24"/>
          <w:szCs w:val="24"/>
        </w:rPr>
      </w:pPr>
    </w:p>
    <w:p w:rsidR="006F30DB" w:rsidRDefault="006F30DB" w:rsidP="006F30DB">
      <w:pPr>
        <w:spacing w:after="0" w:line="360" w:lineRule="auto"/>
        <w:ind w:firstLine="1134"/>
        <w:jc w:val="both"/>
        <w:rPr>
          <w:sz w:val="24"/>
          <w:szCs w:val="24"/>
        </w:rPr>
      </w:pPr>
      <w:r>
        <w:rPr>
          <w:sz w:val="24"/>
          <w:szCs w:val="24"/>
        </w:rPr>
        <w:t xml:space="preserve">No que concerne às competências legislativas, a CF/88 as divide em: a) privativa (artigo 22): atende ao interesse nacional, atribuída apenas à União, com possibilidade de outorga aos Estados para legislar sobre pontos específicos, desde que por lei complementar; b) concorrente (artigo 24, </w:t>
      </w:r>
      <w:r>
        <w:rPr>
          <w:i/>
          <w:sz w:val="24"/>
          <w:szCs w:val="24"/>
        </w:rPr>
        <w:t>caput</w:t>
      </w:r>
      <w:r>
        <w:rPr>
          <w:sz w:val="24"/>
          <w:szCs w:val="24"/>
        </w:rPr>
        <w:t>): atende ao interesse regional, atribuída à União, para legi</w:t>
      </w:r>
      <w:r>
        <w:rPr>
          <w:sz w:val="24"/>
          <w:szCs w:val="24"/>
        </w:rPr>
        <w:t>s</w:t>
      </w:r>
      <w:r>
        <w:rPr>
          <w:sz w:val="24"/>
          <w:szCs w:val="24"/>
        </w:rPr>
        <w:t>lar sobre normas gerais, e aos Estados e ao DF, para legislar sobre normas específicas; c) e</w:t>
      </w:r>
      <w:r>
        <w:rPr>
          <w:sz w:val="24"/>
          <w:szCs w:val="24"/>
        </w:rPr>
        <w:t>x</w:t>
      </w:r>
      <w:r>
        <w:rPr>
          <w:sz w:val="24"/>
          <w:szCs w:val="24"/>
        </w:rPr>
        <w:t>clusiva (artigo 30, I): atende ao interesse local, atribuída aos Municípios; d) suplementar (a</w:t>
      </w:r>
      <w:r>
        <w:rPr>
          <w:sz w:val="24"/>
          <w:szCs w:val="24"/>
        </w:rPr>
        <w:t>r</w:t>
      </w:r>
      <w:r>
        <w:rPr>
          <w:sz w:val="24"/>
          <w:szCs w:val="24"/>
        </w:rPr>
        <w:t>tigo 24, § 2º, e artigo 30, II): garante aos Estados suplementar a legislação federal, no que couber, bem como aos Municípios fazer o mesmo em relação às leis federais e estaduais; e) remanescente estadual (artigo 25, § 1º): aos Estados são atribuídas as competências que não sejam vedadas pela Constituição; f) remanescente distrital (artigo 32, § 1º): ao DF são atrib</w:t>
      </w:r>
      <w:r>
        <w:rPr>
          <w:sz w:val="24"/>
          <w:szCs w:val="24"/>
        </w:rPr>
        <w:t>u</w:t>
      </w:r>
      <w:r>
        <w:rPr>
          <w:sz w:val="24"/>
          <w:szCs w:val="24"/>
        </w:rPr>
        <w:t>ídas as competências legislativas reservadas aos Estados e aos Municípios.</w:t>
      </w:r>
    </w:p>
    <w:p w:rsidR="006F30DB" w:rsidRDefault="006F30DB" w:rsidP="006F30DB">
      <w:pPr>
        <w:spacing w:after="0" w:line="360" w:lineRule="auto"/>
        <w:ind w:firstLine="1134"/>
        <w:jc w:val="both"/>
        <w:rPr>
          <w:sz w:val="24"/>
          <w:szCs w:val="24"/>
        </w:rPr>
      </w:pPr>
    </w:p>
    <w:p w:rsidR="006F30DB" w:rsidRDefault="006F30DB" w:rsidP="006F30DB">
      <w:pPr>
        <w:spacing w:after="0" w:line="360" w:lineRule="auto"/>
        <w:ind w:firstLine="1134"/>
        <w:jc w:val="both"/>
        <w:rPr>
          <w:sz w:val="24"/>
          <w:szCs w:val="24"/>
        </w:rPr>
      </w:pPr>
      <w:r>
        <w:rPr>
          <w:sz w:val="24"/>
          <w:szCs w:val="24"/>
        </w:rPr>
        <w:t>A Constituição Federal, em matéria de proteção do meio ambiente (art. 24, VI), estabelece a competência concorrente para a União legislar sobre normas gerais (art. 24, § 1º) e para os Estados e o Distrito Federal suplementá-las (art. 24, § 2º). Os Municípios, por sua vez, sob a ótica do artigo 24 da CF/88, não estão legitimados a legislar concorrenteme</w:t>
      </w:r>
      <w:r>
        <w:rPr>
          <w:sz w:val="24"/>
          <w:szCs w:val="24"/>
        </w:rPr>
        <w:t>n</w:t>
      </w:r>
      <w:r>
        <w:rPr>
          <w:sz w:val="24"/>
          <w:szCs w:val="24"/>
        </w:rPr>
        <w:t>te sobre esse tema. Sua competência legislativa está adstrita ao previsto no art. 30 da CF/88, limitando-se, basicamente, aos assuntos de interesse local e à suplementação da legislação federal e estadual, no que couber.</w:t>
      </w:r>
    </w:p>
    <w:p w:rsidR="006F30DB" w:rsidRDefault="006F30DB" w:rsidP="006F30DB">
      <w:pPr>
        <w:spacing w:after="0" w:line="360" w:lineRule="auto"/>
        <w:ind w:firstLine="1134"/>
        <w:jc w:val="both"/>
        <w:rPr>
          <w:sz w:val="24"/>
          <w:szCs w:val="24"/>
        </w:rPr>
      </w:pPr>
    </w:p>
    <w:p w:rsidR="006F30DB" w:rsidRDefault="006F30DB" w:rsidP="006F30DB">
      <w:pPr>
        <w:spacing w:after="0" w:line="360" w:lineRule="auto"/>
        <w:ind w:firstLine="1134"/>
        <w:jc w:val="both"/>
        <w:rPr>
          <w:sz w:val="24"/>
          <w:szCs w:val="24"/>
        </w:rPr>
      </w:pPr>
      <w:r>
        <w:rPr>
          <w:sz w:val="24"/>
          <w:szCs w:val="24"/>
        </w:rPr>
        <w:t>No campo da competência suplementar dos Municípios, estes estão legitimados a complementar as normas editadas com base no artigo 24 da CF/88, desde que respeitados os aspectos gerais do regramento objeto da suplementação. A respeito da competência dos Municípios para legislar sobre a proteção e defesa do meio ambiente, transcreve-se a escl</w:t>
      </w:r>
      <w:r>
        <w:rPr>
          <w:sz w:val="24"/>
          <w:szCs w:val="24"/>
        </w:rPr>
        <w:t>a</w:t>
      </w:r>
      <w:r>
        <w:rPr>
          <w:sz w:val="24"/>
          <w:szCs w:val="24"/>
        </w:rPr>
        <w:t>recedora lição de Paulo de Bessa Antunes, um dos maiores expoentes em Direito Ambiental:</w:t>
      </w:r>
    </w:p>
    <w:p w:rsidR="006F30DB" w:rsidRDefault="006F30DB" w:rsidP="006F30DB">
      <w:pPr>
        <w:spacing w:after="0" w:line="360" w:lineRule="auto"/>
        <w:ind w:firstLine="1134"/>
        <w:jc w:val="both"/>
        <w:rPr>
          <w:sz w:val="24"/>
          <w:szCs w:val="24"/>
        </w:rPr>
      </w:pPr>
    </w:p>
    <w:p w:rsidR="006F30DB" w:rsidRPr="008104C6" w:rsidRDefault="006F30DB" w:rsidP="006F30DB">
      <w:pPr>
        <w:spacing w:after="0" w:line="240" w:lineRule="auto"/>
        <w:ind w:left="2268"/>
        <w:jc w:val="both"/>
        <w:rPr>
          <w:sz w:val="20"/>
          <w:szCs w:val="20"/>
        </w:rPr>
      </w:pPr>
      <w:r w:rsidRPr="008104C6">
        <w:rPr>
          <w:sz w:val="20"/>
          <w:szCs w:val="20"/>
        </w:rPr>
        <w:t>Na forma do artigo 23 da Lei Fundamental, os Municípios têm competência adm</w:t>
      </w:r>
      <w:r w:rsidRPr="008104C6">
        <w:rPr>
          <w:sz w:val="20"/>
          <w:szCs w:val="20"/>
        </w:rPr>
        <w:t>i</w:t>
      </w:r>
      <w:r w:rsidRPr="008104C6">
        <w:rPr>
          <w:sz w:val="20"/>
          <w:szCs w:val="20"/>
        </w:rPr>
        <w:t>nistrativa para defender o meio ambiente e combater a poluição. Contudo, os M</w:t>
      </w:r>
      <w:r w:rsidRPr="008104C6">
        <w:rPr>
          <w:sz w:val="20"/>
          <w:szCs w:val="20"/>
        </w:rPr>
        <w:t>u</w:t>
      </w:r>
      <w:r w:rsidRPr="008104C6">
        <w:rPr>
          <w:sz w:val="20"/>
          <w:szCs w:val="20"/>
        </w:rPr>
        <w:t xml:space="preserve">nicípios não estão arrolados entre as pessoas jurídicas de direito público interno encarregadas de legislar sobre meio ambiente. </w:t>
      </w:r>
      <w:r w:rsidRPr="008104C6">
        <w:rPr>
          <w:b/>
          <w:sz w:val="20"/>
          <w:szCs w:val="20"/>
        </w:rPr>
        <w:t>No entanto, seria incorreto e i</w:t>
      </w:r>
      <w:r w:rsidRPr="008104C6">
        <w:rPr>
          <w:b/>
          <w:sz w:val="20"/>
          <w:szCs w:val="20"/>
        </w:rPr>
        <w:t>n</w:t>
      </w:r>
      <w:r w:rsidRPr="008104C6">
        <w:rPr>
          <w:b/>
          <w:sz w:val="20"/>
          <w:szCs w:val="20"/>
        </w:rPr>
        <w:t>sensato dizer-se que os Municípios não têm competência legislativa em matéria ambiental. O artigo 30 da Constituição Federal atribui aos Municípios competê</w:t>
      </w:r>
      <w:r w:rsidRPr="008104C6">
        <w:rPr>
          <w:b/>
          <w:sz w:val="20"/>
          <w:szCs w:val="20"/>
        </w:rPr>
        <w:t>n</w:t>
      </w:r>
      <w:r w:rsidRPr="008104C6">
        <w:rPr>
          <w:b/>
          <w:sz w:val="20"/>
          <w:szCs w:val="20"/>
        </w:rPr>
        <w:t>cia para legislar sobre: assuntos de interesse local; suplementar a legislação fed</w:t>
      </w:r>
      <w:r w:rsidRPr="008104C6">
        <w:rPr>
          <w:b/>
          <w:sz w:val="20"/>
          <w:szCs w:val="20"/>
        </w:rPr>
        <w:t>e</w:t>
      </w:r>
      <w:r w:rsidRPr="008104C6">
        <w:rPr>
          <w:b/>
          <w:sz w:val="20"/>
          <w:szCs w:val="20"/>
        </w:rPr>
        <w:t>ral e estadual no que couber, promover, no que couber, adequado ordenamento territorial, mediante planejamento e controle do uso, do parcelamento e da oc</w:t>
      </w:r>
      <w:r w:rsidRPr="008104C6">
        <w:rPr>
          <w:b/>
          <w:sz w:val="20"/>
          <w:szCs w:val="20"/>
        </w:rPr>
        <w:t>u</w:t>
      </w:r>
      <w:r w:rsidRPr="008104C6">
        <w:rPr>
          <w:b/>
          <w:sz w:val="20"/>
          <w:szCs w:val="20"/>
        </w:rPr>
        <w:t>pação do solo urbano; promover a proteção do patrimônio histórico-cultural l</w:t>
      </w:r>
      <w:r w:rsidRPr="008104C6">
        <w:rPr>
          <w:b/>
          <w:sz w:val="20"/>
          <w:szCs w:val="20"/>
        </w:rPr>
        <w:t>o</w:t>
      </w:r>
      <w:r w:rsidRPr="008104C6">
        <w:rPr>
          <w:b/>
          <w:sz w:val="20"/>
          <w:szCs w:val="20"/>
        </w:rPr>
        <w:t>cal, observada a legislação e a ação fiscalizadora federal e estadual. Está claro que o meio ambiente está incluído no conjunto de atribuições legislativas e admini</w:t>
      </w:r>
      <w:r w:rsidRPr="008104C6">
        <w:rPr>
          <w:b/>
          <w:sz w:val="20"/>
          <w:szCs w:val="20"/>
        </w:rPr>
        <w:t>s</w:t>
      </w:r>
      <w:r w:rsidRPr="008104C6">
        <w:rPr>
          <w:b/>
          <w:sz w:val="20"/>
          <w:szCs w:val="20"/>
        </w:rPr>
        <w:t>trativas municipais e, em realidade, os Municípios formam um elo fundamental na complexa cadeia de proteção ambiental. A importância dos Municípios é ev</w:t>
      </w:r>
      <w:r w:rsidRPr="008104C6">
        <w:rPr>
          <w:b/>
          <w:sz w:val="20"/>
          <w:szCs w:val="20"/>
        </w:rPr>
        <w:t>i</w:t>
      </w:r>
      <w:r w:rsidRPr="008104C6">
        <w:rPr>
          <w:b/>
          <w:sz w:val="20"/>
          <w:szCs w:val="20"/>
        </w:rPr>
        <w:t>dente por si mesma, pois as populações e as autoridades locais reúnem amplas condições de bem conhecer os problemas e mazelas ambientais de cada localid</w:t>
      </w:r>
      <w:r w:rsidRPr="008104C6">
        <w:rPr>
          <w:b/>
          <w:sz w:val="20"/>
          <w:szCs w:val="20"/>
        </w:rPr>
        <w:t>a</w:t>
      </w:r>
      <w:r w:rsidRPr="008104C6">
        <w:rPr>
          <w:b/>
          <w:sz w:val="20"/>
          <w:szCs w:val="20"/>
        </w:rPr>
        <w:t>de, sendo certo que são as primeiras a localizar e identificar o problema. É atr</w:t>
      </w:r>
      <w:r w:rsidRPr="008104C6">
        <w:rPr>
          <w:b/>
          <w:sz w:val="20"/>
          <w:szCs w:val="20"/>
        </w:rPr>
        <w:t>a</w:t>
      </w:r>
      <w:r w:rsidRPr="008104C6">
        <w:rPr>
          <w:b/>
          <w:sz w:val="20"/>
          <w:szCs w:val="20"/>
        </w:rPr>
        <w:t>vés dos Municípios que se pode implementar o princípio ecológico de agir loca</w:t>
      </w:r>
      <w:r w:rsidRPr="008104C6">
        <w:rPr>
          <w:b/>
          <w:sz w:val="20"/>
          <w:szCs w:val="20"/>
        </w:rPr>
        <w:t>l</w:t>
      </w:r>
      <w:r w:rsidRPr="008104C6">
        <w:rPr>
          <w:b/>
          <w:sz w:val="20"/>
          <w:szCs w:val="20"/>
        </w:rPr>
        <w:t>mente, pensar globalmente.</w:t>
      </w:r>
      <w:r w:rsidRPr="008104C6">
        <w:rPr>
          <w:sz w:val="20"/>
          <w:szCs w:val="20"/>
        </w:rPr>
        <w:t>” (‘Direito ambiental’. 8ª ed. Rio de Janeiro: Lumen J</w:t>
      </w:r>
      <w:r w:rsidRPr="008104C6">
        <w:rPr>
          <w:sz w:val="20"/>
          <w:szCs w:val="20"/>
        </w:rPr>
        <w:t>u</w:t>
      </w:r>
      <w:r w:rsidRPr="008104C6">
        <w:rPr>
          <w:sz w:val="20"/>
          <w:szCs w:val="20"/>
        </w:rPr>
        <w:t>ris, 2005, pp. 77-8)</w:t>
      </w:r>
      <w:r>
        <w:rPr>
          <w:sz w:val="20"/>
          <w:szCs w:val="20"/>
        </w:rPr>
        <w:t>.</w:t>
      </w:r>
    </w:p>
    <w:p w:rsidR="006F30DB" w:rsidRDefault="006F30DB" w:rsidP="006F30DB">
      <w:pPr>
        <w:spacing w:after="0" w:line="360" w:lineRule="auto"/>
        <w:ind w:firstLine="1134"/>
        <w:jc w:val="both"/>
        <w:rPr>
          <w:sz w:val="24"/>
          <w:szCs w:val="24"/>
        </w:rPr>
      </w:pPr>
    </w:p>
    <w:p w:rsidR="005F0B86" w:rsidRDefault="006F30DB" w:rsidP="005F0B86">
      <w:pPr>
        <w:spacing w:after="0" w:line="360" w:lineRule="auto"/>
        <w:ind w:firstLine="1134"/>
        <w:jc w:val="both"/>
        <w:rPr>
          <w:b/>
          <w:sz w:val="24"/>
          <w:szCs w:val="24"/>
        </w:rPr>
      </w:pPr>
      <w:r w:rsidRPr="00D676F7">
        <w:rPr>
          <w:sz w:val="24"/>
          <w:szCs w:val="24"/>
        </w:rPr>
        <w:t>O Supremo Tribunal Federal (STF) já decidiu, no RE nº 586.224/SP, julgado em 5 de maio de 2015, que “</w:t>
      </w:r>
      <w:r w:rsidRPr="00FB513A">
        <w:rPr>
          <w:sz w:val="24"/>
          <w:szCs w:val="24"/>
          <w:u w:val="single"/>
        </w:rPr>
        <w:t>O Município é competente para legislar sobre o meio ambiente, ju</w:t>
      </w:r>
      <w:r w:rsidRPr="00FB513A">
        <w:rPr>
          <w:sz w:val="24"/>
          <w:szCs w:val="24"/>
          <w:u w:val="single"/>
        </w:rPr>
        <w:t>n</w:t>
      </w:r>
      <w:r w:rsidRPr="00FB513A">
        <w:rPr>
          <w:sz w:val="24"/>
          <w:szCs w:val="24"/>
          <w:u w:val="single"/>
        </w:rPr>
        <w:t>tamente com a União e o Estado-membro/DF, no limite do seu interesse local e desde que esse regramento seja harmônico com a disciplina estabelecida pelos demais entes federados (art. 24, VI, c/c o art. 30, I e II, da CF/88)</w:t>
      </w:r>
      <w:r>
        <w:rPr>
          <w:sz w:val="24"/>
          <w:szCs w:val="24"/>
        </w:rPr>
        <w:t xml:space="preserve">”. </w:t>
      </w:r>
      <w:r w:rsidRPr="00FB513A">
        <w:rPr>
          <w:b/>
          <w:sz w:val="24"/>
          <w:szCs w:val="24"/>
        </w:rPr>
        <w:t>Assim, ao menos até o momento, o entendime</w:t>
      </w:r>
      <w:r w:rsidRPr="00FB513A">
        <w:rPr>
          <w:b/>
          <w:sz w:val="24"/>
          <w:szCs w:val="24"/>
        </w:rPr>
        <w:t>n</w:t>
      </w:r>
      <w:r w:rsidRPr="00FB513A">
        <w:rPr>
          <w:b/>
          <w:sz w:val="24"/>
          <w:szCs w:val="24"/>
        </w:rPr>
        <w:t>to predominante é pela competência legislativa dos Municípios para disporem sobre m</w:t>
      </w:r>
      <w:r w:rsidRPr="00FB513A">
        <w:rPr>
          <w:b/>
          <w:sz w:val="24"/>
          <w:szCs w:val="24"/>
        </w:rPr>
        <w:t>a</w:t>
      </w:r>
      <w:r w:rsidRPr="00FB513A">
        <w:rPr>
          <w:b/>
          <w:sz w:val="24"/>
          <w:szCs w:val="24"/>
        </w:rPr>
        <w:t>téria ambiental, desde que respeitados os limites do seu interesse local.</w:t>
      </w:r>
    </w:p>
    <w:p w:rsidR="005F0B86" w:rsidRDefault="005F0B86" w:rsidP="005F0B86">
      <w:pPr>
        <w:spacing w:after="0" w:line="360" w:lineRule="auto"/>
        <w:ind w:firstLine="1134"/>
        <w:jc w:val="both"/>
        <w:rPr>
          <w:b/>
          <w:sz w:val="24"/>
          <w:szCs w:val="24"/>
        </w:rPr>
      </w:pPr>
    </w:p>
    <w:p w:rsidR="005F0B86" w:rsidRPr="00281368" w:rsidRDefault="005F0B86" w:rsidP="005F0B86">
      <w:pPr>
        <w:spacing w:after="0" w:line="360" w:lineRule="auto"/>
        <w:ind w:firstLine="1134"/>
        <w:jc w:val="both"/>
        <w:rPr>
          <w:sz w:val="24"/>
          <w:szCs w:val="24"/>
        </w:rPr>
      </w:pPr>
      <w:r>
        <w:rPr>
          <w:sz w:val="24"/>
          <w:szCs w:val="24"/>
        </w:rPr>
        <w:t>No que diz respeito à iniciativa para deflagrar o processo legislativo, a</w:t>
      </w:r>
      <w:r w:rsidRPr="00281368">
        <w:rPr>
          <w:sz w:val="24"/>
          <w:szCs w:val="24"/>
        </w:rPr>
        <w:t>s hipóteses de iniciativa privativa do Poder Executivo, que poderiam limitar o poder de iniciativa dos vereadores, estão expressamente previstas na Constituição Fed</w:t>
      </w:r>
      <w:r>
        <w:rPr>
          <w:sz w:val="24"/>
          <w:szCs w:val="24"/>
        </w:rPr>
        <w:t>eral, aplicadas por simetria aos</w:t>
      </w:r>
      <w:r w:rsidRPr="00281368">
        <w:rPr>
          <w:sz w:val="24"/>
          <w:szCs w:val="24"/>
        </w:rPr>
        <w:t xml:space="preserve"> Estados e Municípios. Dispõe o artigo 61, § 1º, da CF</w:t>
      </w:r>
      <w:r>
        <w:rPr>
          <w:sz w:val="24"/>
          <w:szCs w:val="24"/>
        </w:rPr>
        <w:t>/88</w:t>
      </w:r>
      <w:r w:rsidRPr="00281368">
        <w:rPr>
          <w:sz w:val="24"/>
          <w:szCs w:val="24"/>
        </w:rPr>
        <w:t>:</w:t>
      </w:r>
    </w:p>
    <w:p w:rsidR="005F0B86" w:rsidRPr="00281368" w:rsidRDefault="005F0B86" w:rsidP="005F0B86">
      <w:pPr>
        <w:spacing w:after="0" w:line="360" w:lineRule="auto"/>
        <w:ind w:firstLine="1134"/>
        <w:jc w:val="both"/>
        <w:rPr>
          <w:sz w:val="24"/>
          <w:szCs w:val="24"/>
        </w:rPr>
      </w:pPr>
    </w:p>
    <w:p w:rsidR="005F0B86" w:rsidRPr="00281368"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281368">
        <w:rPr>
          <w:rFonts w:asciiTheme="minorHAnsi" w:hAnsiTheme="minorHAnsi" w:cs="Arial"/>
          <w:color w:val="000000"/>
          <w:sz w:val="20"/>
          <w:szCs w:val="20"/>
        </w:rPr>
        <w:t>Art. 61. A iniciativa das leis complementares e ordinárias cabe a qualquer membro ou Comissão da Câmara dos Deputados, do Senado Federal ou do Congresso N</w:t>
      </w:r>
      <w:r w:rsidRPr="00281368">
        <w:rPr>
          <w:rFonts w:asciiTheme="minorHAnsi" w:hAnsiTheme="minorHAnsi" w:cs="Arial"/>
          <w:color w:val="000000"/>
          <w:sz w:val="20"/>
          <w:szCs w:val="20"/>
        </w:rPr>
        <w:t>a</w:t>
      </w:r>
      <w:r w:rsidRPr="00281368">
        <w:rPr>
          <w:rFonts w:asciiTheme="minorHAnsi" w:hAnsiTheme="minorHAnsi" w:cs="Arial"/>
          <w:color w:val="000000"/>
          <w:sz w:val="20"/>
          <w:szCs w:val="20"/>
        </w:rPr>
        <w:t>cional, ao Presidente da República, ao Supremo Tribunal Federal, aos Tribunais S</w:t>
      </w:r>
      <w:r w:rsidRPr="00281368">
        <w:rPr>
          <w:rFonts w:asciiTheme="minorHAnsi" w:hAnsiTheme="minorHAnsi" w:cs="Arial"/>
          <w:color w:val="000000"/>
          <w:sz w:val="20"/>
          <w:szCs w:val="20"/>
        </w:rPr>
        <w:t>u</w:t>
      </w:r>
      <w:r w:rsidRPr="00281368">
        <w:rPr>
          <w:rFonts w:asciiTheme="minorHAnsi" w:hAnsiTheme="minorHAnsi" w:cs="Arial"/>
          <w:color w:val="000000"/>
          <w:sz w:val="20"/>
          <w:szCs w:val="20"/>
        </w:rPr>
        <w:t>periores, ao Procurador-Geral da República e aos cidadãos, na forma e nos casos previstos nesta Constituição.</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 1º São de iniciativa privativa do Presidente da República as leis que:</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I - fixem ou modifiquem os efetivos das Forças Armadas;</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II - disponham sobre:</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lastRenderedPageBreak/>
        <w:t>a) criação de cargos, funções ou empregos públicos na administração direta e a</w:t>
      </w:r>
      <w:r w:rsidRPr="00B56946">
        <w:rPr>
          <w:rFonts w:asciiTheme="minorHAnsi" w:hAnsiTheme="minorHAnsi" w:cs="Arial"/>
          <w:color w:val="000000"/>
          <w:sz w:val="20"/>
          <w:szCs w:val="20"/>
        </w:rPr>
        <w:t>u</w:t>
      </w:r>
      <w:r w:rsidRPr="00B56946">
        <w:rPr>
          <w:rFonts w:asciiTheme="minorHAnsi" w:hAnsiTheme="minorHAnsi" w:cs="Arial"/>
          <w:color w:val="000000"/>
          <w:sz w:val="20"/>
          <w:szCs w:val="20"/>
        </w:rPr>
        <w:t>tárquica ou aumento de sua remuneração;</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b) organização administrativa e judiciária, matéria tributária e orçamentária, serv</w:t>
      </w:r>
      <w:r w:rsidRPr="00B56946">
        <w:rPr>
          <w:rFonts w:asciiTheme="minorHAnsi" w:hAnsiTheme="minorHAnsi" w:cs="Arial"/>
          <w:color w:val="000000"/>
          <w:sz w:val="20"/>
          <w:szCs w:val="20"/>
        </w:rPr>
        <w:t>i</w:t>
      </w:r>
      <w:r w:rsidRPr="00B56946">
        <w:rPr>
          <w:rFonts w:asciiTheme="minorHAnsi" w:hAnsiTheme="minorHAnsi" w:cs="Arial"/>
          <w:color w:val="000000"/>
          <w:sz w:val="20"/>
          <w:szCs w:val="20"/>
        </w:rPr>
        <w:t>ços públicos e pessoal da administração dos Territórios;</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c) servidores públicos da União e Territórios, seu regime jurídico, provimento de cargos, estabilidade e aposentadoria;</w:t>
      </w:r>
      <w:r w:rsidRPr="00B56946">
        <w:rPr>
          <w:rFonts w:asciiTheme="minorHAnsi" w:hAnsiTheme="minorHAnsi" w:cs="Arial"/>
          <w:color w:val="0000FF"/>
          <w:sz w:val="20"/>
          <w:szCs w:val="20"/>
        </w:rPr>
        <w:t> </w:t>
      </w:r>
      <w:r w:rsidRPr="00B56946">
        <w:rPr>
          <w:rFonts w:asciiTheme="minorHAnsi" w:hAnsiTheme="minorHAnsi" w:cs="Arial"/>
          <w:color w:val="000000"/>
          <w:sz w:val="20"/>
          <w:szCs w:val="20"/>
        </w:rPr>
        <w:t>(Redação dada pela Emenda Constitucional nº 18, de 1998)</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d) organização do Ministério Público e da Defensoria Pública da União, bem como normas gerais para a organização do Ministério Público e da Defensoria Pública dos Estados, do Distrito Federal e dos Territórios;</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e) criação e extinção de Ministérios e órgãos da administração pública, observado</w:t>
      </w:r>
      <w:r w:rsidRPr="00B56946">
        <w:rPr>
          <w:rFonts w:asciiTheme="minorHAnsi" w:hAnsiTheme="minorHAnsi" w:cs="Arial"/>
          <w:i/>
          <w:iCs/>
          <w:color w:val="000000"/>
          <w:sz w:val="20"/>
          <w:szCs w:val="20"/>
        </w:rPr>
        <w:t> </w:t>
      </w:r>
      <w:r w:rsidRPr="00B56946">
        <w:rPr>
          <w:rFonts w:asciiTheme="minorHAnsi" w:hAnsiTheme="minorHAnsi" w:cs="Arial"/>
          <w:color w:val="000000"/>
          <w:sz w:val="20"/>
          <w:szCs w:val="20"/>
        </w:rPr>
        <w:t>o disposto no art. 84, VI</w:t>
      </w:r>
      <w:r w:rsidRPr="00B56946">
        <w:rPr>
          <w:rFonts w:asciiTheme="minorHAnsi" w:hAnsiTheme="minorHAnsi" w:cs="Arial"/>
          <w:i/>
          <w:iCs/>
          <w:color w:val="000000"/>
          <w:sz w:val="20"/>
          <w:szCs w:val="20"/>
        </w:rPr>
        <w:t>;  </w:t>
      </w:r>
      <w:r w:rsidRPr="00B56946">
        <w:rPr>
          <w:rFonts w:asciiTheme="minorHAnsi" w:hAnsiTheme="minorHAnsi" w:cs="Arial"/>
          <w:color w:val="000000"/>
          <w:sz w:val="20"/>
          <w:szCs w:val="20"/>
        </w:rPr>
        <w:t>(Redação dada pela Emenda Constitucional nº 32, de 2001)</w:t>
      </w:r>
    </w:p>
    <w:p w:rsidR="005F0B86" w:rsidRPr="00B56946" w:rsidRDefault="005F0B86" w:rsidP="005F0B86">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f) militares das Forças Armadas, seu regime jurídico, provimento de cargos, prom</w:t>
      </w:r>
      <w:r w:rsidRPr="00B56946">
        <w:rPr>
          <w:rFonts w:asciiTheme="minorHAnsi" w:hAnsiTheme="minorHAnsi" w:cs="Arial"/>
          <w:color w:val="000000"/>
          <w:sz w:val="20"/>
          <w:szCs w:val="20"/>
        </w:rPr>
        <w:t>o</w:t>
      </w:r>
      <w:r w:rsidRPr="00B56946">
        <w:rPr>
          <w:rFonts w:asciiTheme="minorHAnsi" w:hAnsiTheme="minorHAnsi" w:cs="Arial"/>
          <w:color w:val="000000"/>
          <w:sz w:val="20"/>
          <w:szCs w:val="20"/>
        </w:rPr>
        <w:t>ções, estabilidade, remuneração, reforma e transferência para a reserva.</w:t>
      </w:r>
      <w:r w:rsidRPr="00B56946">
        <w:rPr>
          <w:rFonts w:asciiTheme="minorHAnsi" w:hAnsiTheme="minorHAnsi" w:cs="Arial"/>
          <w:color w:val="FF0000"/>
          <w:sz w:val="20"/>
          <w:szCs w:val="20"/>
        </w:rPr>
        <w:t> </w:t>
      </w:r>
      <w:r w:rsidRPr="00B56946">
        <w:rPr>
          <w:rFonts w:asciiTheme="minorHAnsi" w:hAnsiTheme="minorHAnsi" w:cs="Arial"/>
          <w:color w:val="000000"/>
          <w:sz w:val="20"/>
          <w:szCs w:val="20"/>
        </w:rPr>
        <w:t>(Incluída pela Emenda Constitucional nº 18, de 1998)</w:t>
      </w:r>
    </w:p>
    <w:p w:rsidR="005F0B86" w:rsidRPr="00281368" w:rsidRDefault="005F0B86" w:rsidP="005F0B86">
      <w:pPr>
        <w:spacing w:after="0" w:line="360" w:lineRule="auto"/>
        <w:ind w:firstLine="1134"/>
        <w:jc w:val="both"/>
        <w:rPr>
          <w:sz w:val="24"/>
          <w:szCs w:val="24"/>
        </w:rPr>
      </w:pPr>
    </w:p>
    <w:p w:rsidR="005F0B86" w:rsidRDefault="005F0B86" w:rsidP="005F0B86">
      <w:pPr>
        <w:spacing w:after="0" w:line="360" w:lineRule="auto"/>
        <w:ind w:firstLine="1134"/>
        <w:jc w:val="both"/>
        <w:rPr>
          <w:sz w:val="24"/>
          <w:szCs w:val="24"/>
        </w:rPr>
      </w:pPr>
      <w:r>
        <w:rPr>
          <w:sz w:val="24"/>
          <w:szCs w:val="24"/>
        </w:rPr>
        <w:t>Para os fins do direito municipal, mais relevante ainda é a observância das no</w:t>
      </w:r>
      <w:r>
        <w:rPr>
          <w:sz w:val="24"/>
          <w:szCs w:val="24"/>
        </w:rPr>
        <w:t>r</w:t>
      </w:r>
      <w:r>
        <w:rPr>
          <w:sz w:val="24"/>
          <w:szCs w:val="24"/>
        </w:rPr>
        <w:t>mas previstas na Constituição Estadual no que diz respeito à iniciativa para o processo legi</w:t>
      </w:r>
      <w:r>
        <w:rPr>
          <w:sz w:val="24"/>
          <w:szCs w:val="24"/>
        </w:rPr>
        <w:t>s</w:t>
      </w:r>
      <w:r>
        <w:rPr>
          <w:sz w:val="24"/>
          <w:szCs w:val="24"/>
        </w:rPr>
        <w:t>lativo, uma vez que, em caso de eventual controle de constitucionalidade, o parâmetro para a análise da conformidade vertical se dá em relação ao disposto na Constituição Gaúcha, conforme preveem o artigo 125, § 2º, da CF/88 e artigo 95, XII, alínea “d”, da CE/RS. Nesse caso, refere o artigo 60 da Constituição Estadual:</w:t>
      </w:r>
    </w:p>
    <w:p w:rsidR="005F0B86" w:rsidRDefault="005F0B86" w:rsidP="005F0B86">
      <w:pPr>
        <w:spacing w:after="0" w:line="360" w:lineRule="auto"/>
        <w:ind w:firstLine="1134"/>
        <w:jc w:val="both"/>
        <w:rPr>
          <w:sz w:val="24"/>
          <w:szCs w:val="24"/>
        </w:rPr>
      </w:pPr>
    </w:p>
    <w:p w:rsidR="005F0B86" w:rsidRPr="001F57E5" w:rsidRDefault="005F0B86" w:rsidP="005F0B86">
      <w:pPr>
        <w:spacing w:after="0" w:line="240" w:lineRule="auto"/>
        <w:ind w:left="2268"/>
        <w:jc w:val="both"/>
        <w:rPr>
          <w:sz w:val="20"/>
          <w:szCs w:val="20"/>
        </w:rPr>
      </w:pPr>
      <w:r w:rsidRPr="001F57E5">
        <w:rPr>
          <w:sz w:val="20"/>
          <w:szCs w:val="20"/>
        </w:rPr>
        <w:t>Art. 60.  São de iniciativa privativa do Governador do Estado as leis que:</w:t>
      </w:r>
    </w:p>
    <w:p w:rsidR="005F0B86" w:rsidRPr="001F57E5" w:rsidRDefault="005F0B86" w:rsidP="005F0B86">
      <w:pPr>
        <w:spacing w:after="0" w:line="240" w:lineRule="auto"/>
        <w:ind w:left="2268"/>
        <w:jc w:val="both"/>
        <w:rPr>
          <w:sz w:val="20"/>
          <w:szCs w:val="20"/>
        </w:rPr>
      </w:pPr>
      <w:r w:rsidRPr="001F57E5">
        <w:rPr>
          <w:sz w:val="20"/>
          <w:szCs w:val="20"/>
        </w:rPr>
        <w:t>I - fixem ou modifiquem os efetivos da Brigada Militar e do Corpo de Bombeiros M</w:t>
      </w:r>
      <w:r w:rsidRPr="001F57E5">
        <w:rPr>
          <w:sz w:val="20"/>
          <w:szCs w:val="20"/>
        </w:rPr>
        <w:t>i</w:t>
      </w:r>
      <w:r w:rsidRPr="001F57E5">
        <w:rPr>
          <w:sz w:val="20"/>
          <w:szCs w:val="20"/>
        </w:rPr>
        <w:t>litar; (Redação dada pela Emenda Constitucional n.º 67, de 17/06/14)</w:t>
      </w:r>
    </w:p>
    <w:p w:rsidR="005F0B86" w:rsidRPr="001F57E5" w:rsidRDefault="005F0B86" w:rsidP="005F0B86">
      <w:pPr>
        <w:spacing w:after="0" w:line="240" w:lineRule="auto"/>
        <w:ind w:left="2268"/>
        <w:jc w:val="both"/>
        <w:rPr>
          <w:sz w:val="20"/>
          <w:szCs w:val="20"/>
        </w:rPr>
      </w:pPr>
      <w:r w:rsidRPr="001F57E5">
        <w:rPr>
          <w:sz w:val="20"/>
          <w:szCs w:val="20"/>
        </w:rPr>
        <w:t>II - disponham sobre:</w:t>
      </w:r>
    </w:p>
    <w:p w:rsidR="005F0B86" w:rsidRPr="001F57E5" w:rsidRDefault="005F0B86" w:rsidP="005F0B86">
      <w:pPr>
        <w:spacing w:after="0" w:line="240" w:lineRule="auto"/>
        <w:ind w:left="2268"/>
        <w:jc w:val="both"/>
        <w:rPr>
          <w:sz w:val="20"/>
          <w:szCs w:val="20"/>
        </w:rPr>
      </w:pPr>
      <w:r w:rsidRPr="001F57E5">
        <w:rPr>
          <w:sz w:val="20"/>
          <w:szCs w:val="20"/>
        </w:rPr>
        <w:t>a) criação e aumento da remuneração de cargos, funções ou empregos públicos na administração direta ou autárquica;</w:t>
      </w:r>
    </w:p>
    <w:p w:rsidR="005F0B86" w:rsidRPr="00C53373" w:rsidRDefault="005F0B86" w:rsidP="005F0B86">
      <w:pPr>
        <w:spacing w:after="0" w:line="240" w:lineRule="auto"/>
        <w:ind w:left="2268"/>
        <w:jc w:val="both"/>
        <w:rPr>
          <w:sz w:val="20"/>
          <w:szCs w:val="20"/>
        </w:rPr>
      </w:pPr>
      <w:r w:rsidRPr="0031468D">
        <w:rPr>
          <w:sz w:val="20"/>
          <w:szCs w:val="20"/>
        </w:rPr>
        <w:t>b) servidores públicos do Estado</w:t>
      </w:r>
      <w:r w:rsidRPr="004F2E89">
        <w:rPr>
          <w:sz w:val="20"/>
          <w:szCs w:val="20"/>
        </w:rPr>
        <w:t>, seu regime jurídico</w:t>
      </w:r>
      <w:r w:rsidRPr="00C53373">
        <w:rPr>
          <w:sz w:val="20"/>
          <w:szCs w:val="20"/>
        </w:rPr>
        <w:t>, provimento de cargos, estab</w:t>
      </w:r>
      <w:r w:rsidRPr="00C53373">
        <w:rPr>
          <w:sz w:val="20"/>
          <w:szCs w:val="20"/>
        </w:rPr>
        <w:t>i</w:t>
      </w:r>
      <w:r w:rsidRPr="00C53373">
        <w:rPr>
          <w:sz w:val="20"/>
          <w:szCs w:val="20"/>
        </w:rPr>
        <w:t>lidade e aposentadoria de civis, e reforma ou transferência de militares para a in</w:t>
      </w:r>
      <w:r w:rsidRPr="00C53373">
        <w:rPr>
          <w:sz w:val="20"/>
          <w:szCs w:val="20"/>
        </w:rPr>
        <w:t>a</w:t>
      </w:r>
      <w:r w:rsidRPr="00C53373">
        <w:rPr>
          <w:sz w:val="20"/>
          <w:szCs w:val="20"/>
        </w:rPr>
        <w:t>tividade;</w:t>
      </w:r>
    </w:p>
    <w:p w:rsidR="005F0B86" w:rsidRPr="001F57E5" w:rsidRDefault="005F0B86" w:rsidP="005F0B86">
      <w:pPr>
        <w:spacing w:after="0" w:line="240" w:lineRule="auto"/>
        <w:ind w:left="2268"/>
        <w:jc w:val="both"/>
        <w:rPr>
          <w:sz w:val="20"/>
          <w:szCs w:val="20"/>
        </w:rPr>
      </w:pPr>
      <w:r w:rsidRPr="001F57E5">
        <w:rPr>
          <w:sz w:val="20"/>
          <w:szCs w:val="20"/>
        </w:rPr>
        <w:t>c) organização da Defensoria Pública do Estado;</w:t>
      </w:r>
    </w:p>
    <w:p w:rsidR="005F0B86" w:rsidRPr="007012D0" w:rsidRDefault="005F0B86" w:rsidP="005F0B86">
      <w:pPr>
        <w:spacing w:after="0" w:line="240" w:lineRule="auto"/>
        <w:ind w:left="2268"/>
        <w:jc w:val="both"/>
        <w:rPr>
          <w:sz w:val="20"/>
          <w:szCs w:val="20"/>
        </w:rPr>
      </w:pPr>
      <w:r w:rsidRPr="007012D0">
        <w:rPr>
          <w:sz w:val="20"/>
          <w:szCs w:val="20"/>
        </w:rPr>
        <w:t>d) criação, estruturação e atribuições das Secretarias e órgãos da administração pública.</w:t>
      </w:r>
    </w:p>
    <w:p w:rsidR="005F0B86" w:rsidRDefault="005F0B86" w:rsidP="005F0B86">
      <w:pPr>
        <w:spacing w:after="0" w:line="360" w:lineRule="auto"/>
        <w:ind w:firstLine="1134"/>
        <w:jc w:val="both"/>
        <w:rPr>
          <w:sz w:val="24"/>
          <w:szCs w:val="24"/>
        </w:rPr>
      </w:pPr>
    </w:p>
    <w:p w:rsidR="00E37DCF" w:rsidRDefault="00E37DCF" w:rsidP="00E37DCF">
      <w:pPr>
        <w:spacing w:after="0" w:line="360" w:lineRule="auto"/>
        <w:ind w:firstLine="1134"/>
        <w:jc w:val="both"/>
        <w:rPr>
          <w:sz w:val="24"/>
          <w:szCs w:val="24"/>
        </w:rPr>
      </w:pPr>
      <w:r>
        <w:rPr>
          <w:sz w:val="24"/>
          <w:szCs w:val="24"/>
        </w:rPr>
        <w:t>No âmbito municipal,</w:t>
      </w:r>
      <w:r w:rsidR="00C91A25">
        <w:rPr>
          <w:sz w:val="24"/>
          <w:szCs w:val="24"/>
        </w:rPr>
        <w:t xml:space="preserve"> o artigo 119</w:t>
      </w:r>
      <w:r>
        <w:rPr>
          <w:sz w:val="24"/>
          <w:szCs w:val="24"/>
        </w:rPr>
        <w:t xml:space="preserve"> </w:t>
      </w:r>
      <w:r w:rsidR="00C91A25">
        <w:rPr>
          <w:sz w:val="24"/>
          <w:szCs w:val="24"/>
        </w:rPr>
        <w:t>d</w:t>
      </w:r>
      <w:r>
        <w:rPr>
          <w:sz w:val="24"/>
          <w:szCs w:val="24"/>
        </w:rPr>
        <w:t>a Lei Orgânica</w:t>
      </w:r>
      <w:r w:rsidR="00C91A25">
        <w:rPr>
          <w:sz w:val="24"/>
          <w:szCs w:val="24"/>
        </w:rPr>
        <w:t>, à semelhança do artigo 60 da Constituição Estadual, faz reserva de iniciativa aos projetos de lei sobre certas matérias:</w:t>
      </w:r>
    </w:p>
    <w:p w:rsidR="00C91A25" w:rsidRDefault="00C91A25" w:rsidP="00E37DCF">
      <w:pPr>
        <w:spacing w:after="0" w:line="360" w:lineRule="auto"/>
        <w:ind w:firstLine="1134"/>
        <w:jc w:val="both"/>
        <w:rPr>
          <w:sz w:val="24"/>
          <w:szCs w:val="24"/>
        </w:rPr>
      </w:pPr>
    </w:p>
    <w:p w:rsidR="00C91A25" w:rsidRPr="00CB484A" w:rsidRDefault="00C91A25" w:rsidP="00C91A25">
      <w:pPr>
        <w:spacing w:after="0" w:line="240" w:lineRule="auto"/>
        <w:ind w:left="2268"/>
        <w:jc w:val="both"/>
        <w:rPr>
          <w:sz w:val="20"/>
          <w:szCs w:val="20"/>
        </w:rPr>
      </w:pPr>
      <w:r w:rsidRPr="00CB484A">
        <w:rPr>
          <w:sz w:val="20"/>
          <w:szCs w:val="20"/>
        </w:rPr>
        <w:t>Art. 119 É competência exclusiva do Prefeito a iniciativa dos projetos de lei que disponham sobre:</w:t>
      </w:r>
    </w:p>
    <w:p w:rsidR="00C91A25" w:rsidRPr="00CB484A" w:rsidRDefault="00C91A25" w:rsidP="00C91A25">
      <w:pPr>
        <w:spacing w:after="0" w:line="240" w:lineRule="auto"/>
        <w:ind w:left="2268"/>
        <w:jc w:val="both"/>
        <w:rPr>
          <w:sz w:val="20"/>
          <w:szCs w:val="20"/>
        </w:rPr>
      </w:pPr>
      <w:r w:rsidRPr="00CB484A">
        <w:rPr>
          <w:sz w:val="20"/>
          <w:szCs w:val="20"/>
        </w:rPr>
        <w:t>I - criação de cargos, funções ou empregos públicos na administração direta e a</w:t>
      </w:r>
      <w:r w:rsidRPr="00CB484A">
        <w:rPr>
          <w:sz w:val="20"/>
          <w:szCs w:val="20"/>
        </w:rPr>
        <w:t>u</w:t>
      </w:r>
      <w:r w:rsidRPr="00CB484A">
        <w:rPr>
          <w:sz w:val="20"/>
          <w:szCs w:val="20"/>
        </w:rPr>
        <w:t xml:space="preserve">tárquica ou aumento de sua remuneração; </w:t>
      </w:r>
    </w:p>
    <w:p w:rsidR="00C91A25" w:rsidRPr="00C91A25" w:rsidRDefault="00C91A25" w:rsidP="00C91A25">
      <w:pPr>
        <w:spacing w:after="0" w:line="240" w:lineRule="auto"/>
        <w:ind w:left="2268"/>
        <w:jc w:val="both"/>
        <w:rPr>
          <w:sz w:val="20"/>
          <w:szCs w:val="20"/>
        </w:rPr>
      </w:pPr>
      <w:r w:rsidRPr="00C91A25">
        <w:rPr>
          <w:sz w:val="20"/>
          <w:szCs w:val="20"/>
        </w:rPr>
        <w:t xml:space="preserve">II - organização administrativa, matéria orçamentária e serviços públicos; </w:t>
      </w:r>
    </w:p>
    <w:p w:rsidR="00C91A25" w:rsidRPr="00CB484A" w:rsidRDefault="00C91A25" w:rsidP="00C91A25">
      <w:pPr>
        <w:spacing w:after="0" w:line="240" w:lineRule="auto"/>
        <w:ind w:left="2268"/>
        <w:jc w:val="both"/>
        <w:rPr>
          <w:sz w:val="20"/>
          <w:szCs w:val="20"/>
        </w:rPr>
      </w:pPr>
      <w:r w:rsidRPr="00CB484A">
        <w:rPr>
          <w:sz w:val="20"/>
          <w:szCs w:val="20"/>
        </w:rPr>
        <w:t xml:space="preserve">III - servidores públicos, seu regime jurídico, provimento de cargos, estabilidade e aposentadoria; </w:t>
      </w:r>
    </w:p>
    <w:p w:rsidR="00C91A25" w:rsidRPr="00CB484A" w:rsidRDefault="00C91A25" w:rsidP="00C91A25">
      <w:pPr>
        <w:spacing w:after="0" w:line="240" w:lineRule="auto"/>
        <w:ind w:left="2268"/>
        <w:jc w:val="both"/>
        <w:rPr>
          <w:sz w:val="20"/>
          <w:szCs w:val="20"/>
        </w:rPr>
      </w:pPr>
      <w:r w:rsidRPr="00CB484A">
        <w:rPr>
          <w:sz w:val="20"/>
          <w:szCs w:val="20"/>
        </w:rPr>
        <w:lastRenderedPageBreak/>
        <w:t>IV - criação e extinção de Secretarias e órgãos da administração pública. (Redação dada pela Emenda à Lei Orgânica nº 2/2017)</w:t>
      </w:r>
    </w:p>
    <w:p w:rsidR="00C91A25" w:rsidRDefault="00C91A25" w:rsidP="00E37DCF">
      <w:pPr>
        <w:spacing w:after="0" w:line="360" w:lineRule="auto"/>
        <w:ind w:firstLine="1134"/>
        <w:jc w:val="both"/>
        <w:rPr>
          <w:sz w:val="24"/>
          <w:szCs w:val="24"/>
        </w:rPr>
      </w:pPr>
    </w:p>
    <w:p w:rsidR="006F30DB" w:rsidRDefault="00E37DCF" w:rsidP="00C01DA1">
      <w:pPr>
        <w:spacing w:after="0" w:line="360" w:lineRule="auto"/>
        <w:ind w:firstLine="1134"/>
        <w:jc w:val="both"/>
        <w:rPr>
          <w:sz w:val="24"/>
          <w:szCs w:val="24"/>
        </w:rPr>
      </w:pPr>
      <w:r>
        <w:rPr>
          <w:sz w:val="24"/>
          <w:szCs w:val="24"/>
        </w:rPr>
        <w:t xml:space="preserve">Verifica-se, no caso, que não há qualquer limitação constitucional à propositura de projeto por </w:t>
      </w:r>
      <w:r w:rsidR="00C91A25">
        <w:rPr>
          <w:sz w:val="24"/>
          <w:szCs w:val="24"/>
        </w:rPr>
        <w:t>V</w:t>
      </w:r>
      <w:r>
        <w:rPr>
          <w:sz w:val="24"/>
          <w:szCs w:val="24"/>
        </w:rPr>
        <w:t xml:space="preserve">ereador sobre a matéria tratada, </w:t>
      </w:r>
      <w:r w:rsidR="00C91A25">
        <w:rPr>
          <w:sz w:val="24"/>
          <w:szCs w:val="24"/>
        </w:rPr>
        <w:t>já que</w:t>
      </w:r>
      <w:r>
        <w:rPr>
          <w:sz w:val="24"/>
          <w:szCs w:val="24"/>
        </w:rPr>
        <w:t>, com base nos fundamentos acima expostos, não se constata qualquer hipótese de iniciativa privativa e/ou excl</w:t>
      </w:r>
      <w:r w:rsidR="00B06988">
        <w:rPr>
          <w:sz w:val="24"/>
          <w:szCs w:val="24"/>
        </w:rPr>
        <w:t>usiva</w:t>
      </w:r>
      <w:r w:rsidR="00C01DA1">
        <w:rPr>
          <w:sz w:val="24"/>
          <w:szCs w:val="24"/>
        </w:rPr>
        <w:t>.</w:t>
      </w:r>
    </w:p>
    <w:p w:rsidR="006F30DB" w:rsidRDefault="006F30DB" w:rsidP="00C01DA1">
      <w:pPr>
        <w:spacing w:after="0" w:line="360" w:lineRule="auto"/>
        <w:ind w:firstLine="1134"/>
        <w:jc w:val="both"/>
        <w:rPr>
          <w:sz w:val="24"/>
          <w:szCs w:val="24"/>
        </w:rPr>
      </w:pPr>
    </w:p>
    <w:p w:rsidR="00BB3564" w:rsidRDefault="00BB3564" w:rsidP="00BB3564">
      <w:pPr>
        <w:spacing w:after="0" w:line="360" w:lineRule="auto"/>
        <w:ind w:firstLine="1134"/>
        <w:jc w:val="both"/>
        <w:rPr>
          <w:sz w:val="24"/>
          <w:szCs w:val="24"/>
        </w:rPr>
      </w:pPr>
      <w:r w:rsidRPr="00AE7283">
        <w:rPr>
          <w:sz w:val="24"/>
          <w:szCs w:val="24"/>
        </w:rPr>
        <w:t xml:space="preserve">Quanto à matéria de fundo, </w:t>
      </w:r>
      <w:r>
        <w:rPr>
          <w:sz w:val="24"/>
          <w:szCs w:val="24"/>
        </w:rPr>
        <w:t xml:space="preserve">também </w:t>
      </w:r>
      <w:r w:rsidRPr="00AE7283">
        <w:rPr>
          <w:sz w:val="24"/>
          <w:szCs w:val="24"/>
        </w:rPr>
        <w:t xml:space="preserve">não há qualquer óbice à proposta. </w:t>
      </w:r>
      <w:r>
        <w:rPr>
          <w:sz w:val="24"/>
          <w:szCs w:val="24"/>
        </w:rPr>
        <w:t xml:space="preserve">Convém destacar que o objetivo principal do </w:t>
      </w:r>
      <w:r w:rsidR="009B1ADE">
        <w:rPr>
          <w:sz w:val="24"/>
          <w:szCs w:val="24"/>
        </w:rPr>
        <w:t xml:space="preserve">substitutivo ao </w:t>
      </w:r>
      <w:r>
        <w:rPr>
          <w:sz w:val="24"/>
          <w:szCs w:val="24"/>
        </w:rPr>
        <w:t>P</w:t>
      </w:r>
      <w:r w:rsidR="009B1ADE">
        <w:rPr>
          <w:sz w:val="24"/>
          <w:szCs w:val="24"/>
        </w:rPr>
        <w:t>L</w:t>
      </w:r>
      <w:r>
        <w:rPr>
          <w:sz w:val="24"/>
          <w:szCs w:val="24"/>
        </w:rPr>
        <w:t xml:space="preserve"> nº </w:t>
      </w:r>
      <w:r w:rsidR="005F0B86">
        <w:rPr>
          <w:sz w:val="24"/>
          <w:szCs w:val="24"/>
        </w:rPr>
        <w:t>074</w:t>
      </w:r>
      <w:r w:rsidR="006F30DB">
        <w:rPr>
          <w:sz w:val="24"/>
          <w:szCs w:val="24"/>
        </w:rPr>
        <w:t>/2021</w:t>
      </w:r>
      <w:r>
        <w:rPr>
          <w:sz w:val="24"/>
          <w:szCs w:val="24"/>
        </w:rPr>
        <w:t xml:space="preserve"> é promover a proteção dos animais</w:t>
      </w:r>
      <w:r w:rsidR="005F0B86">
        <w:rPr>
          <w:sz w:val="24"/>
          <w:szCs w:val="24"/>
        </w:rPr>
        <w:t>, o que vai ao encontro do art. 225 da CF/88, que</w:t>
      </w:r>
      <w:r>
        <w:rPr>
          <w:sz w:val="24"/>
          <w:szCs w:val="24"/>
        </w:rPr>
        <w:t xml:space="preserve"> </w:t>
      </w:r>
      <w:r w:rsidR="005F0B86">
        <w:rPr>
          <w:sz w:val="24"/>
          <w:szCs w:val="24"/>
        </w:rPr>
        <w:t>refere</w:t>
      </w:r>
      <w:r>
        <w:rPr>
          <w:sz w:val="24"/>
          <w:szCs w:val="24"/>
        </w:rPr>
        <w:t xml:space="preserve">: “Todos têm direito ao meio ambiente ecologicamente equilibrado, bem de uso comum do povo e essencial à sadia qualidade de vida, impondo-se ao Poder Público e à coletividade o dever de defendê-lo e preservá-lo para as presentes e futuras gerações.” </w:t>
      </w:r>
      <w:r w:rsidRPr="005F0B86">
        <w:rPr>
          <w:b/>
          <w:sz w:val="24"/>
          <w:szCs w:val="24"/>
        </w:rPr>
        <w:t>O § 1º, detalhando os meios de garantir a proteção ambiental, obriga o Poder Público a “proteger a fauna e a flora, vedadas, na forma da lei, as práticas que coloquem em risco sua função ecológica, provoquem a exti</w:t>
      </w:r>
      <w:r w:rsidRPr="005F0B86">
        <w:rPr>
          <w:b/>
          <w:sz w:val="24"/>
          <w:szCs w:val="24"/>
        </w:rPr>
        <w:t>n</w:t>
      </w:r>
      <w:r w:rsidRPr="005F0B86">
        <w:rPr>
          <w:b/>
          <w:sz w:val="24"/>
          <w:szCs w:val="24"/>
        </w:rPr>
        <w:t>ção de espécies ou submetam os animais a crueldade</w:t>
      </w:r>
      <w:r w:rsidR="006F30DB" w:rsidRPr="005F0B86">
        <w:rPr>
          <w:b/>
          <w:sz w:val="24"/>
          <w:szCs w:val="24"/>
        </w:rPr>
        <w:t>”</w:t>
      </w:r>
      <w:r w:rsidR="00AC66CD">
        <w:rPr>
          <w:b/>
          <w:sz w:val="24"/>
          <w:szCs w:val="24"/>
        </w:rPr>
        <w:t xml:space="preserve"> (inciso VII)</w:t>
      </w:r>
      <w:r w:rsidR="006F30DB" w:rsidRPr="005F0B86">
        <w:rPr>
          <w:b/>
          <w:sz w:val="24"/>
          <w:szCs w:val="24"/>
        </w:rPr>
        <w:t>.</w:t>
      </w:r>
    </w:p>
    <w:p w:rsidR="00BB3564" w:rsidRDefault="00BB3564" w:rsidP="00BB3564">
      <w:pPr>
        <w:spacing w:after="0" w:line="360" w:lineRule="auto"/>
        <w:ind w:firstLine="1134"/>
        <w:jc w:val="both"/>
        <w:rPr>
          <w:sz w:val="24"/>
          <w:szCs w:val="24"/>
        </w:rPr>
      </w:pPr>
    </w:p>
    <w:p w:rsidR="00BB3564" w:rsidRDefault="00BB3564" w:rsidP="00BB3564">
      <w:pPr>
        <w:spacing w:after="0" w:line="360" w:lineRule="auto"/>
        <w:ind w:firstLine="1134"/>
        <w:jc w:val="both"/>
        <w:rPr>
          <w:sz w:val="24"/>
          <w:szCs w:val="24"/>
        </w:rPr>
      </w:pPr>
      <w:r>
        <w:rPr>
          <w:sz w:val="24"/>
          <w:szCs w:val="24"/>
        </w:rPr>
        <w:t>Do mesmo modo, o art</w:t>
      </w:r>
      <w:r w:rsidR="00C80D0C">
        <w:rPr>
          <w:sz w:val="24"/>
          <w:szCs w:val="24"/>
        </w:rPr>
        <w:t>.</w:t>
      </w:r>
      <w:r>
        <w:rPr>
          <w:sz w:val="24"/>
          <w:szCs w:val="24"/>
        </w:rPr>
        <w:t xml:space="preserve"> 251, </w:t>
      </w:r>
      <w:r>
        <w:rPr>
          <w:i/>
          <w:sz w:val="24"/>
          <w:szCs w:val="24"/>
        </w:rPr>
        <w:t>caput</w:t>
      </w:r>
      <w:r>
        <w:rPr>
          <w:sz w:val="24"/>
          <w:szCs w:val="24"/>
        </w:rPr>
        <w:t>, da C</w:t>
      </w:r>
      <w:r w:rsidR="00C80D0C">
        <w:rPr>
          <w:sz w:val="24"/>
          <w:szCs w:val="24"/>
        </w:rPr>
        <w:t>E/RS</w:t>
      </w:r>
      <w:r>
        <w:rPr>
          <w:sz w:val="24"/>
          <w:szCs w:val="24"/>
        </w:rPr>
        <w:t xml:space="preserve"> </w:t>
      </w:r>
      <w:r w:rsidR="006F30DB">
        <w:rPr>
          <w:sz w:val="24"/>
          <w:szCs w:val="24"/>
        </w:rPr>
        <w:t>prevê</w:t>
      </w:r>
      <w:r>
        <w:rPr>
          <w:sz w:val="24"/>
          <w:szCs w:val="24"/>
        </w:rPr>
        <w:t>: “Todos têm direito ao meio ambiente ecologicamente equilibrado, impondo-se ao Poder Público e à coletivid</w:t>
      </w:r>
      <w:r>
        <w:rPr>
          <w:sz w:val="24"/>
          <w:szCs w:val="24"/>
        </w:rPr>
        <w:t>a</w:t>
      </w:r>
      <w:r>
        <w:rPr>
          <w:sz w:val="24"/>
          <w:szCs w:val="24"/>
        </w:rPr>
        <w:t>de o dever de defendê-lo, preservá-lo e restaurá-lo para as presentes e futuras gerações, cabe</w:t>
      </w:r>
      <w:r>
        <w:rPr>
          <w:sz w:val="24"/>
          <w:szCs w:val="24"/>
        </w:rPr>
        <w:t>n</w:t>
      </w:r>
      <w:r>
        <w:rPr>
          <w:sz w:val="24"/>
          <w:szCs w:val="24"/>
        </w:rPr>
        <w:t xml:space="preserve">do a todos exigir do Poder Público a adoção de medidas nesse sentido.” </w:t>
      </w:r>
      <w:r w:rsidRPr="00866AD7">
        <w:rPr>
          <w:b/>
          <w:sz w:val="24"/>
          <w:szCs w:val="24"/>
        </w:rPr>
        <w:t xml:space="preserve">Entre as medidas </w:t>
      </w:r>
      <w:r w:rsidR="00C80D0C">
        <w:rPr>
          <w:b/>
          <w:sz w:val="24"/>
          <w:szCs w:val="24"/>
        </w:rPr>
        <w:t>prot</w:t>
      </w:r>
      <w:r w:rsidR="00C80D0C">
        <w:rPr>
          <w:b/>
          <w:sz w:val="24"/>
          <w:szCs w:val="24"/>
        </w:rPr>
        <w:t>e</w:t>
      </w:r>
      <w:r w:rsidR="00C80D0C">
        <w:rPr>
          <w:b/>
          <w:sz w:val="24"/>
          <w:szCs w:val="24"/>
        </w:rPr>
        <w:t xml:space="preserve">tivas ao </w:t>
      </w:r>
      <w:r w:rsidRPr="00866AD7">
        <w:rPr>
          <w:b/>
          <w:sz w:val="24"/>
          <w:szCs w:val="24"/>
        </w:rPr>
        <w:t>ambiente, o § 1º, VII, prevê: “proteger a flora, a fauna e a paisagem natural, esp</w:t>
      </w:r>
      <w:r w:rsidRPr="00866AD7">
        <w:rPr>
          <w:b/>
          <w:sz w:val="24"/>
          <w:szCs w:val="24"/>
        </w:rPr>
        <w:t>e</w:t>
      </w:r>
      <w:r w:rsidRPr="00866AD7">
        <w:rPr>
          <w:b/>
          <w:sz w:val="24"/>
          <w:szCs w:val="24"/>
        </w:rPr>
        <w:t>cialmente os cursos d’água, vedadas as práticas que coloquem em risco sua função ecol</w:t>
      </w:r>
      <w:r w:rsidRPr="00866AD7">
        <w:rPr>
          <w:b/>
          <w:sz w:val="24"/>
          <w:szCs w:val="24"/>
        </w:rPr>
        <w:t>ó</w:t>
      </w:r>
      <w:r w:rsidRPr="00866AD7">
        <w:rPr>
          <w:b/>
          <w:sz w:val="24"/>
          <w:szCs w:val="24"/>
        </w:rPr>
        <w:t>gica e paisagística, provoquem extinção de espécie ou submetam os animais a crueld</w:t>
      </w:r>
      <w:r w:rsidRPr="00866AD7">
        <w:rPr>
          <w:b/>
          <w:sz w:val="24"/>
          <w:szCs w:val="24"/>
        </w:rPr>
        <w:t>a</w:t>
      </w:r>
      <w:r w:rsidRPr="00866AD7">
        <w:rPr>
          <w:b/>
          <w:sz w:val="24"/>
          <w:szCs w:val="24"/>
        </w:rPr>
        <w:t>de</w:t>
      </w:r>
      <w:r w:rsidR="006F30DB" w:rsidRPr="00866AD7">
        <w:rPr>
          <w:b/>
          <w:sz w:val="24"/>
          <w:szCs w:val="24"/>
        </w:rPr>
        <w:t>”.</w:t>
      </w:r>
    </w:p>
    <w:p w:rsidR="00BB3564" w:rsidRDefault="00BB3564" w:rsidP="002E6A65">
      <w:pPr>
        <w:spacing w:after="0" w:line="360" w:lineRule="auto"/>
        <w:ind w:firstLine="1134"/>
        <w:jc w:val="both"/>
        <w:rPr>
          <w:sz w:val="24"/>
          <w:szCs w:val="24"/>
        </w:rPr>
      </w:pPr>
    </w:p>
    <w:p w:rsidR="0062145F" w:rsidRDefault="0062145F" w:rsidP="0062145F">
      <w:pPr>
        <w:spacing w:after="0" w:line="360" w:lineRule="auto"/>
        <w:ind w:firstLine="1134"/>
        <w:jc w:val="both"/>
        <w:rPr>
          <w:sz w:val="24"/>
          <w:szCs w:val="24"/>
        </w:rPr>
      </w:pPr>
      <w:r>
        <w:rPr>
          <w:sz w:val="24"/>
          <w:szCs w:val="24"/>
        </w:rPr>
        <w:t>Ou seja, a rigor, os parágrafos citados dos textos constitucionais tutelam o valor da vida animal contra atos cruéis que afrontem os seus interesses enquanto seres sencie</w:t>
      </w:r>
      <w:r>
        <w:rPr>
          <w:sz w:val="24"/>
          <w:szCs w:val="24"/>
        </w:rPr>
        <w:t>n</w:t>
      </w:r>
      <w:r>
        <w:rPr>
          <w:sz w:val="24"/>
          <w:szCs w:val="24"/>
        </w:rPr>
        <w:t>tes, isto é, indivíduos capazes de sentir impulsos de sentimentos de forma consciente. Nessa linha, a jurisprudência do STF vem avançando cada vez mais no sentido da proteção da vida animal como valor constitucional autônomo, destacando-se, por exemplo, as decisões que interditam manifestações culturais que impliquem crueldade contra animais: RE nº 153.531 e ADIs nº 2.514, 3.776, 1.856 e 4.983.</w:t>
      </w:r>
    </w:p>
    <w:p w:rsidR="00520431" w:rsidRDefault="00520431" w:rsidP="004601B0">
      <w:pPr>
        <w:spacing w:after="0" w:line="360" w:lineRule="auto"/>
        <w:ind w:firstLine="1134"/>
        <w:jc w:val="both"/>
        <w:rPr>
          <w:sz w:val="24"/>
          <w:szCs w:val="24"/>
        </w:rPr>
      </w:pPr>
      <w:r>
        <w:rPr>
          <w:sz w:val="24"/>
          <w:szCs w:val="24"/>
        </w:rPr>
        <w:lastRenderedPageBreak/>
        <w:t>No caso das vaquejadas (ADI nº 4.983), o Min. Luís Roberto Barroso desenvolveu</w:t>
      </w:r>
      <w:r w:rsidR="006E7F64">
        <w:rPr>
          <w:sz w:val="24"/>
          <w:szCs w:val="24"/>
        </w:rPr>
        <w:t xml:space="preserve"> sólidas considerações quanto à ética animal e ao dever constitucional de proteção dos int</w:t>
      </w:r>
      <w:r w:rsidR="006E7F64">
        <w:rPr>
          <w:sz w:val="24"/>
          <w:szCs w:val="24"/>
        </w:rPr>
        <w:t>e</w:t>
      </w:r>
      <w:r w:rsidR="009E2D84">
        <w:rPr>
          <w:sz w:val="24"/>
          <w:szCs w:val="24"/>
        </w:rPr>
        <w:t>resses dos seres sencientes, sendo pertinente a transcrição de alguns trechos:</w:t>
      </w:r>
    </w:p>
    <w:p w:rsidR="009E2D84" w:rsidRDefault="009E2D84" w:rsidP="004601B0">
      <w:pPr>
        <w:spacing w:after="0" w:line="360" w:lineRule="auto"/>
        <w:ind w:firstLine="1134"/>
        <w:jc w:val="both"/>
        <w:rPr>
          <w:sz w:val="24"/>
          <w:szCs w:val="24"/>
        </w:rPr>
      </w:pPr>
    </w:p>
    <w:p w:rsidR="009E2D84" w:rsidRPr="009E2D84" w:rsidRDefault="009E2D84" w:rsidP="009E2D84">
      <w:pPr>
        <w:spacing w:after="0" w:line="240" w:lineRule="auto"/>
        <w:ind w:left="2268"/>
        <w:jc w:val="both"/>
        <w:rPr>
          <w:sz w:val="20"/>
          <w:szCs w:val="20"/>
        </w:rPr>
      </w:pPr>
      <w:r w:rsidRPr="009E2D84">
        <w:rPr>
          <w:sz w:val="20"/>
          <w:szCs w:val="20"/>
        </w:rPr>
        <w:t xml:space="preserve">34. Embora a norma constitucional presente no art. 225, </w:t>
      </w:r>
      <w:r w:rsidRPr="009E2D84">
        <w:rPr>
          <w:i/>
          <w:sz w:val="20"/>
          <w:szCs w:val="20"/>
        </w:rPr>
        <w:t>caput</w:t>
      </w:r>
      <w:r w:rsidRPr="009E2D84">
        <w:rPr>
          <w:sz w:val="20"/>
          <w:szCs w:val="20"/>
        </w:rPr>
        <w:t>, tenha feição nit</w:t>
      </w:r>
      <w:r w:rsidRPr="009E2D84">
        <w:rPr>
          <w:sz w:val="20"/>
          <w:szCs w:val="20"/>
        </w:rPr>
        <w:t>i</w:t>
      </w:r>
      <w:r w:rsidRPr="009E2D84">
        <w:rPr>
          <w:sz w:val="20"/>
          <w:szCs w:val="20"/>
        </w:rPr>
        <w:t>damente antropocêntrica, a Constituição a equilibra com o biocentrismo por meio de seus parágrafos e incisos. É por essa razão que é possível afirmar que o constit</w:t>
      </w:r>
      <w:r w:rsidRPr="009E2D84">
        <w:rPr>
          <w:sz w:val="20"/>
          <w:szCs w:val="20"/>
        </w:rPr>
        <w:t>u</w:t>
      </w:r>
      <w:r w:rsidRPr="009E2D84">
        <w:rPr>
          <w:sz w:val="20"/>
          <w:szCs w:val="20"/>
        </w:rPr>
        <w:t>inte não endossou um antropocentrismo radical, mas sim optou por uma versão moderada, em sintonia com a intensidade valorativa conferida ao meio ambiente pela maioria das sociedades contemporâneas. Além disso, o fato de a Constituição Federal de 1988 ser a primeira entre as constituições brasileiras a se importar com a proteção da fauna e da flora é bastante representativo dessa opção antropocê</w:t>
      </w:r>
      <w:r w:rsidRPr="009E2D84">
        <w:rPr>
          <w:sz w:val="20"/>
          <w:szCs w:val="20"/>
        </w:rPr>
        <w:t>n</w:t>
      </w:r>
      <w:r w:rsidRPr="009E2D84">
        <w:rPr>
          <w:sz w:val="20"/>
          <w:szCs w:val="20"/>
        </w:rPr>
        <w:t>trica moderada feita pelo constituinte.</w:t>
      </w:r>
    </w:p>
    <w:p w:rsidR="009E2D84" w:rsidRPr="009E2D84" w:rsidRDefault="009E2D84" w:rsidP="009E2D84">
      <w:pPr>
        <w:spacing w:after="0" w:line="240" w:lineRule="auto"/>
        <w:ind w:left="2268"/>
        <w:jc w:val="both"/>
        <w:rPr>
          <w:sz w:val="20"/>
          <w:szCs w:val="20"/>
        </w:rPr>
      </w:pPr>
      <w:r w:rsidRPr="009E2D84">
        <w:rPr>
          <w:sz w:val="20"/>
          <w:szCs w:val="20"/>
        </w:rPr>
        <w:t>35. A Constituição também avançou no campo da ética animal, sendo uma das poucas no mundo a vedar expressamente a crueldade contra eles. Esse inegável avanço na tutela dos animais está previsto no art. 225, § 1º, VII, onde a Constitu</w:t>
      </w:r>
      <w:r w:rsidRPr="009E2D84">
        <w:rPr>
          <w:sz w:val="20"/>
          <w:szCs w:val="20"/>
        </w:rPr>
        <w:t>i</w:t>
      </w:r>
      <w:r w:rsidRPr="009E2D84">
        <w:rPr>
          <w:sz w:val="20"/>
          <w:szCs w:val="20"/>
        </w:rPr>
        <w:t xml:space="preserve">ção assevera que é dever do Poder Público </w:t>
      </w:r>
      <w:r w:rsidRPr="009E2D84">
        <w:rPr>
          <w:i/>
          <w:sz w:val="20"/>
          <w:szCs w:val="20"/>
        </w:rPr>
        <w:t xml:space="preserve">“proteger a fauna e a flora, vedadas, na forma da lei, </w:t>
      </w:r>
      <w:r w:rsidRPr="009E2D84">
        <w:rPr>
          <w:b/>
          <w:i/>
          <w:sz w:val="20"/>
          <w:szCs w:val="20"/>
        </w:rPr>
        <w:t>as práticas</w:t>
      </w:r>
      <w:r w:rsidRPr="009E2D84">
        <w:rPr>
          <w:i/>
          <w:sz w:val="20"/>
          <w:szCs w:val="20"/>
        </w:rPr>
        <w:t xml:space="preserve"> que coloquem em risco sua função ecológica, provoquem a extinção das espécies ou </w:t>
      </w:r>
      <w:r w:rsidRPr="009E2D84">
        <w:rPr>
          <w:b/>
          <w:i/>
          <w:sz w:val="20"/>
          <w:szCs w:val="20"/>
        </w:rPr>
        <w:t>submetam os animais à crueldade</w:t>
      </w:r>
      <w:r w:rsidRPr="009E2D84">
        <w:rPr>
          <w:i/>
          <w:sz w:val="20"/>
          <w:szCs w:val="20"/>
        </w:rPr>
        <w:t>”</w:t>
      </w:r>
      <w:r w:rsidRPr="009E2D84">
        <w:rPr>
          <w:sz w:val="20"/>
          <w:szCs w:val="20"/>
        </w:rPr>
        <w:t>. Entretanto, a maior parte da doutrina e a própria jurisprudência do Supremo Tribunal Federal têm i</w:t>
      </w:r>
      <w:r w:rsidRPr="009E2D84">
        <w:rPr>
          <w:sz w:val="20"/>
          <w:szCs w:val="20"/>
        </w:rPr>
        <w:t>n</w:t>
      </w:r>
      <w:r w:rsidRPr="009E2D84">
        <w:rPr>
          <w:sz w:val="20"/>
          <w:szCs w:val="20"/>
        </w:rPr>
        <w:t>terpretado essa tutela constitucional dos animais contra a crueldade como depe</w:t>
      </w:r>
      <w:r w:rsidRPr="009E2D84">
        <w:rPr>
          <w:sz w:val="20"/>
          <w:szCs w:val="20"/>
        </w:rPr>
        <w:t>n</w:t>
      </w:r>
      <w:r w:rsidRPr="009E2D84">
        <w:rPr>
          <w:sz w:val="20"/>
          <w:szCs w:val="20"/>
        </w:rPr>
        <w:t>dente do direito ao meio ambiente, em razão da sua inserção no art. 225. Penso, no entanto, que essa interpretação não é a melhor pelas razões que se seguem.</w:t>
      </w:r>
    </w:p>
    <w:p w:rsidR="009E2D84" w:rsidRPr="009E2D84" w:rsidRDefault="009E2D84" w:rsidP="009E2D84">
      <w:pPr>
        <w:spacing w:after="0" w:line="240" w:lineRule="auto"/>
        <w:ind w:left="2268"/>
        <w:jc w:val="both"/>
        <w:rPr>
          <w:sz w:val="20"/>
          <w:szCs w:val="20"/>
        </w:rPr>
      </w:pPr>
      <w:r w:rsidRPr="009E2D84">
        <w:rPr>
          <w:sz w:val="20"/>
          <w:szCs w:val="20"/>
        </w:rPr>
        <w:t>36. Primeiramente, essa cláusula de vedação de práticas que submetam animais a crueldade foi inserida na Constituição brasileira a partir da discussão, ocorrida na assembleia constituinte, sobre práticas cruéis contra animais, especialmente na “farra do boi”, e não como mais uma medida voltada para a garantia de um meio-ambiente ecologicamente equilibrado. Em segundo lugar, caso o propósito do constituinte fosse ecológico, não seria preciso incluir a vedação de práticas de cr</w:t>
      </w:r>
      <w:r w:rsidRPr="009E2D84">
        <w:rPr>
          <w:sz w:val="20"/>
          <w:szCs w:val="20"/>
        </w:rPr>
        <w:t>u</w:t>
      </w:r>
      <w:r w:rsidRPr="009E2D84">
        <w:rPr>
          <w:sz w:val="20"/>
          <w:szCs w:val="20"/>
        </w:rPr>
        <w:t>eldade contra animais na redação do art. 225, § 1º, VII, já que, no mesmo disposit</w:t>
      </w:r>
      <w:r w:rsidRPr="009E2D84">
        <w:rPr>
          <w:sz w:val="20"/>
          <w:szCs w:val="20"/>
        </w:rPr>
        <w:t>i</w:t>
      </w:r>
      <w:r w:rsidRPr="009E2D84">
        <w:rPr>
          <w:sz w:val="20"/>
          <w:szCs w:val="20"/>
        </w:rPr>
        <w:t xml:space="preserve">vo, há o dever de </w:t>
      </w:r>
      <w:r w:rsidRPr="009E2D84">
        <w:rPr>
          <w:i/>
          <w:sz w:val="20"/>
          <w:szCs w:val="20"/>
        </w:rPr>
        <w:t>“proteger a fauna”</w:t>
      </w:r>
      <w:r w:rsidRPr="009E2D84">
        <w:rPr>
          <w:sz w:val="20"/>
          <w:szCs w:val="20"/>
        </w:rPr>
        <w:t>. Por fim, também não foi por um propósito preservacionista que o constituinte inseriu tal cláusula, pois também não teria se</w:t>
      </w:r>
      <w:r w:rsidRPr="009E2D84">
        <w:rPr>
          <w:sz w:val="20"/>
          <w:szCs w:val="20"/>
        </w:rPr>
        <w:t>n</w:t>
      </w:r>
      <w:r w:rsidRPr="009E2D84">
        <w:rPr>
          <w:sz w:val="20"/>
          <w:szCs w:val="20"/>
        </w:rPr>
        <w:t xml:space="preserve">tido incluí-la já havendo, no mesmo dispositivo, a cláusula que proíbe práticas que </w:t>
      </w:r>
      <w:r w:rsidRPr="009E2D84">
        <w:rPr>
          <w:i/>
          <w:sz w:val="20"/>
          <w:szCs w:val="20"/>
        </w:rPr>
        <w:t>“provoquem a extinção das espécies”</w:t>
      </w:r>
      <w:r w:rsidRPr="009E2D84">
        <w:rPr>
          <w:sz w:val="20"/>
          <w:szCs w:val="20"/>
        </w:rPr>
        <w:t>.</w:t>
      </w:r>
    </w:p>
    <w:p w:rsidR="009E2D84" w:rsidRPr="009E2D84" w:rsidRDefault="009E2D84" w:rsidP="009E2D84">
      <w:pPr>
        <w:spacing w:after="0" w:line="240" w:lineRule="auto"/>
        <w:ind w:left="2268"/>
        <w:jc w:val="both"/>
        <w:rPr>
          <w:sz w:val="20"/>
          <w:szCs w:val="20"/>
        </w:rPr>
      </w:pPr>
      <w:r w:rsidRPr="009E2D84">
        <w:rPr>
          <w:sz w:val="20"/>
          <w:szCs w:val="20"/>
        </w:rPr>
        <w:t>37. Portanto, a vedação da crueldade contra animais na Constituição Federal deve ser considerada uma norma autônoma, de modo que sua proteção não se dê un</w:t>
      </w:r>
      <w:r w:rsidRPr="009E2D84">
        <w:rPr>
          <w:sz w:val="20"/>
          <w:szCs w:val="20"/>
        </w:rPr>
        <w:t>i</w:t>
      </w:r>
      <w:r w:rsidRPr="009E2D84">
        <w:rPr>
          <w:sz w:val="20"/>
          <w:szCs w:val="20"/>
        </w:rPr>
        <w:t>camente em razão de uma função ecológica ou preservacionista, e a fim de que os animais não sejam reduzidos à mera condição de elementos do meio ambiente. Só assim reconheceremos a essa vedação o valor eminentemente moral que o const</w:t>
      </w:r>
      <w:r w:rsidRPr="009E2D84">
        <w:rPr>
          <w:sz w:val="20"/>
          <w:szCs w:val="20"/>
        </w:rPr>
        <w:t>i</w:t>
      </w:r>
      <w:r w:rsidRPr="009E2D84">
        <w:rPr>
          <w:sz w:val="20"/>
          <w:szCs w:val="20"/>
        </w:rPr>
        <w:t>tuinte lhe conferiu ao propô-la em benefício dos animais sencientes. Esse valor m</w:t>
      </w:r>
      <w:r w:rsidRPr="009E2D84">
        <w:rPr>
          <w:sz w:val="20"/>
          <w:szCs w:val="20"/>
        </w:rPr>
        <w:t>o</w:t>
      </w:r>
      <w:r w:rsidRPr="009E2D84">
        <w:rPr>
          <w:sz w:val="20"/>
          <w:szCs w:val="20"/>
        </w:rPr>
        <w:t>ral está na declaração de que o sofrimento animal importa por si só, independe</w:t>
      </w:r>
      <w:r w:rsidRPr="009E2D84">
        <w:rPr>
          <w:sz w:val="20"/>
          <w:szCs w:val="20"/>
        </w:rPr>
        <w:t>n</w:t>
      </w:r>
      <w:r w:rsidRPr="009E2D84">
        <w:rPr>
          <w:sz w:val="20"/>
          <w:szCs w:val="20"/>
        </w:rPr>
        <w:t>temente do equilibro do meio ambiente, da sua função ecológica ou de sua impo</w:t>
      </w:r>
      <w:r w:rsidRPr="009E2D84">
        <w:rPr>
          <w:sz w:val="20"/>
          <w:szCs w:val="20"/>
        </w:rPr>
        <w:t>r</w:t>
      </w:r>
      <w:r w:rsidRPr="009E2D84">
        <w:rPr>
          <w:sz w:val="20"/>
          <w:szCs w:val="20"/>
        </w:rPr>
        <w:t>tância para a preservação de sua espécie.</w:t>
      </w:r>
    </w:p>
    <w:p w:rsidR="00866AD7" w:rsidRDefault="00866AD7" w:rsidP="004601B0">
      <w:pPr>
        <w:spacing w:after="0" w:line="360" w:lineRule="auto"/>
        <w:ind w:firstLine="1134"/>
        <w:jc w:val="both"/>
        <w:rPr>
          <w:sz w:val="24"/>
          <w:szCs w:val="24"/>
        </w:rPr>
      </w:pPr>
    </w:p>
    <w:p w:rsidR="009E2D84" w:rsidRDefault="009E2D84" w:rsidP="004601B0">
      <w:pPr>
        <w:spacing w:after="0" w:line="360" w:lineRule="auto"/>
        <w:ind w:firstLine="1134"/>
        <w:jc w:val="both"/>
        <w:rPr>
          <w:sz w:val="24"/>
          <w:szCs w:val="24"/>
        </w:rPr>
      </w:pPr>
      <w:r>
        <w:rPr>
          <w:sz w:val="24"/>
          <w:szCs w:val="24"/>
        </w:rPr>
        <w:t xml:space="preserve">Ademais, o substitutivo está alinhado com a </w:t>
      </w:r>
      <w:r w:rsidRPr="009E2D84">
        <w:rPr>
          <w:b/>
          <w:sz w:val="24"/>
          <w:szCs w:val="24"/>
        </w:rPr>
        <w:t>Declaração Universal dos Direitos dos Animais</w:t>
      </w:r>
      <w:r>
        <w:rPr>
          <w:sz w:val="24"/>
          <w:szCs w:val="24"/>
        </w:rPr>
        <w:t>, de 15</w:t>
      </w:r>
      <w:r w:rsidR="00D83E2C">
        <w:rPr>
          <w:sz w:val="24"/>
          <w:szCs w:val="24"/>
        </w:rPr>
        <w:t>/10/1978</w:t>
      </w:r>
      <w:r>
        <w:rPr>
          <w:sz w:val="24"/>
          <w:szCs w:val="24"/>
        </w:rPr>
        <w:t xml:space="preserve">, </w:t>
      </w:r>
      <w:r w:rsidR="00D83E2C">
        <w:rPr>
          <w:sz w:val="24"/>
          <w:szCs w:val="24"/>
        </w:rPr>
        <w:t>elaborada perante a UNESCO e da qual o Brasil foi signatário. Embora a declaração não tenha sido incorporada à ordem jurídica interna, trata-se de dir</w:t>
      </w:r>
      <w:r w:rsidR="00D83E2C">
        <w:rPr>
          <w:sz w:val="24"/>
          <w:szCs w:val="24"/>
        </w:rPr>
        <w:t>e</w:t>
      </w:r>
      <w:r w:rsidR="00D83E2C">
        <w:rPr>
          <w:sz w:val="24"/>
          <w:szCs w:val="24"/>
        </w:rPr>
        <w:t>triz representativa dos interesses do país sobre a matéria, a validar o conteúdo do projeto.</w:t>
      </w:r>
    </w:p>
    <w:p w:rsidR="00F85172" w:rsidRPr="00C022E8" w:rsidRDefault="00F85172" w:rsidP="00C022E8">
      <w:pPr>
        <w:pStyle w:val="PargrafodaLista"/>
        <w:numPr>
          <w:ilvl w:val="0"/>
          <w:numId w:val="1"/>
        </w:numPr>
        <w:spacing w:after="0" w:line="360" w:lineRule="auto"/>
        <w:jc w:val="both"/>
        <w:rPr>
          <w:b/>
          <w:sz w:val="24"/>
          <w:szCs w:val="24"/>
        </w:rPr>
      </w:pPr>
      <w:r w:rsidRPr="00C022E8">
        <w:rPr>
          <w:b/>
          <w:sz w:val="24"/>
          <w:szCs w:val="24"/>
        </w:rPr>
        <w:lastRenderedPageBreak/>
        <w:t>CONCLUSÃO</w:t>
      </w:r>
    </w:p>
    <w:p w:rsidR="00F85172" w:rsidRPr="00C022E8" w:rsidRDefault="00F85172" w:rsidP="00C022E8">
      <w:pPr>
        <w:spacing w:after="0" w:line="360" w:lineRule="auto"/>
        <w:jc w:val="both"/>
        <w:rPr>
          <w:b/>
          <w:sz w:val="24"/>
          <w:szCs w:val="24"/>
        </w:rPr>
      </w:pPr>
    </w:p>
    <w:p w:rsidR="006F30DB" w:rsidRDefault="006F30DB" w:rsidP="006F30DB">
      <w:pPr>
        <w:spacing w:after="0" w:line="360" w:lineRule="auto"/>
        <w:ind w:firstLine="1134"/>
        <w:jc w:val="both"/>
        <w:rPr>
          <w:sz w:val="24"/>
          <w:szCs w:val="24"/>
        </w:rPr>
      </w:pPr>
      <w:r w:rsidRPr="008727A2">
        <w:rPr>
          <w:sz w:val="24"/>
          <w:szCs w:val="24"/>
        </w:rPr>
        <w:t xml:space="preserve">Diante do exposto, respeitada a natureza </w:t>
      </w:r>
      <w:r w:rsidRPr="006F30DB">
        <w:rPr>
          <w:sz w:val="24"/>
          <w:szCs w:val="24"/>
        </w:rPr>
        <w:t>opinativa</w:t>
      </w:r>
      <w:r w:rsidRPr="008727A2">
        <w:rPr>
          <w:sz w:val="24"/>
          <w:szCs w:val="24"/>
        </w:rPr>
        <w:t xml:space="preserve"> do parecer jurídico, que não vincula, por si só, a manifestação das comissões permanentes e a convicção dos membros desta Câmara, e assegurada a </w:t>
      </w:r>
      <w:r w:rsidRPr="006F30DB">
        <w:rPr>
          <w:sz w:val="24"/>
          <w:szCs w:val="24"/>
        </w:rPr>
        <w:t>soberania do Plenário</w:t>
      </w:r>
      <w:r w:rsidRPr="008727A2">
        <w:rPr>
          <w:sz w:val="24"/>
          <w:szCs w:val="24"/>
        </w:rPr>
        <w:t xml:space="preserve">, a Procuradoria </w:t>
      </w:r>
      <w:r w:rsidRPr="003627F6">
        <w:rPr>
          <w:b/>
          <w:sz w:val="24"/>
          <w:szCs w:val="24"/>
        </w:rPr>
        <w:t>opina</w:t>
      </w:r>
      <w:r w:rsidRPr="008727A2">
        <w:rPr>
          <w:sz w:val="24"/>
          <w:szCs w:val="24"/>
        </w:rPr>
        <w:t xml:space="preserve"> pela legalidade e </w:t>
      </w:r>
      <w:r w:rsidR="00A95986">
        <w:rPr>
          <w:sz w:val="24"/>
          <w:szCs w:val="24"/>
        </w:rPr>
        <w:t xml:space="preserve">pela </w:t>
      </w:r>
      <w:r w:rsidRPr="008727A2">
        <w:rPr>
          <w:sz w:val="24"/>
          <w:szCs w:val="24"/>
        </w:rPr>
        <w:t>regular tra</w:t>
      </w:r>
      <w:r>
        <w:rPr>
          <w:sz w:val="24"/>
          <w:szCs w:val="24"/>
        </w:rPr>
        <w:t xml:space="preserve">mitação do substitutivo ao Projeto de Lei nº </w:t>
      </w:r>
      <w:r w:rsidR="0062145F">
        <w:rPr>
          <w:sz w:val="24"/>
          <w:szCs w:val="24"/>
        </w:rPr>
        <w:t>074</w:t>
      </w:r>
      <w:r>
        <w:rPr>
          <w:sz w:val="24"/>
          <w:szCs w:val="24"/>
        </w:rPr>
        <w:t>/2021</w:t>
      </w:r>
      <w:r w:rsidRPr="008727A2">
        <w:rPr>
          <w:sz w:val="24"/>
          <w:szCs w:val="24"/>
        </w:rPr>
        <w:t>, por inexistirem vícios de natureza material ou formal que impeçam a sua deliberação em Plenário.</w:t>
      </w:r>
    </w:p>
    <w:p w:rsidR="00F85172" w:rsidRPr="00E501C1" w:rsidRDefault="00F85172" w:rsidP="00F85172">
      <w:pPr>
        <w:spacing w:after="0" w:line="360" w:lineRule="auto"/>
        <w:ind w:firstLine="1134"/>
        <w:jc w:val="both"/>
        <w:rPr>
          <w:sz w:val="24"/>
          <w:szCs w:val="24"/>
        </w:rPr>
      </w:pPr>
    </w:p>
    <w:p w:rsidR="00C7445E" w:rsidRDefault="002D2ABF" w:rsidP="00BA3324">
      <w:pPr>
        <w:spacing w:after="0" w:line="360" w:lineRule="auto"/>
        <w:ind w:firstLine="1134"/>
        <w:jc w:val="both"/>
        <w:rPr>
          <w:sz w:val="24"/>
          <w:szCs w:val="24"/>
        </w:rPr>
      </w:pPr>
      <w:r>
        <w:rPr>
          <w:sz w:val="24"/>
          <w:szCs w:val="24"/>
        </w:rPr>
        <w:t>É o parecer, salvo melhor juízo.</w:t>
      </w:r>
    </w:p>
    <w:p w:rsidR="00BA3324" w:rsidRDefault="00BA3324" w:rsidP="00BA3324">
      <w:pPr>
        <w:spacing w:after="0" w:line="360" w:lineRule="auto"/>
        <w:ind w:firstLine="1134"/>
        <w:jc w:val="both"/>
        <w:rPr>
          <w:sz w:val="24"/>
          <w:szCs w:val="24"/>
        </w:rPr>
      </w:pPr>
    </w:p>
    <w:p w:rsidR="00BA3324" w:rsidRDefault="00BA3324" w:rsidP="00BA3324">
      <w:pPr>
        <w:spacing w:after="0" w:line="360" w:lineRule="auto"/>
        <w:jc w:val="center"/>
        <w:rPr>
          <w:sz w:val="24"/>
          <w:szCs w:val="24"/>
        </w:rPr>
      </w:pPr>
      <w:r>
        <w:rPr>
          <w:sz w:val="24"/>
          <w:szCs w:val="24"/>
        </w:rPr>
        <w:t xml:space="preserve">Guaíba, </w:t>
      </w:r>
      <w:r w:rsidR="0062145F">
        <w:rPr>
          <w:sz w:val="24"/>
          <w:szCs w:val="24"/>
        </w:rPr>
        <w:t>12 de julho de 2021.</w:t>
      </w:r>
    </w:p>
    <w:p w:rsidR="00BA3324" w:rsidRDefault="00BA3324" w:rsidP="00BA3324">
      <w:pPr>
        <w:spacing w:after="0" w:line="360" w:lineRule="auto"/>
        <w:jc w:val="center"/>
        <w:rPr>
          <w:sz w:val="24"/>
          <w:szCs w:val="24"/>
        </w:rPr>
      </w:pPr>
    </w:p>
    <w:p w:rsidR="00BA3324" w:rsidRDefault="00BA3324" w:rsidP="00BA3324">
      <w:pPr>
        <w:spacing w:after="0" w:line="360" w:lineRule="auto"/>
        <w:jc w:val="center"/>
        <w:rPr>
          <w:b/>
          <w:sz w:val="24"/>
          <w:szCs w:val="24"/>
        </w:rPr>
      </w:pPr>
      <w:r>
        <w:rPr>
          <w:b/>
          <w:sz w:val="24"/>
          <w:szCs w:val="24"/>
        </w:rPr>
        <w:t>GUSTAVO DOBLER</w:t>
      </w:r>
    </w:p>
    <w:p w:rsidR="00C7445E" w:rsidRDefault="00B26FE9" w:rsidP="001D6B37">
      <w:pPr>
        <w:spacing w:after="0" w:line="360" w:lineRule="auto"/>
        <w:jc w:val="center"/>
        <w:rPr>
          <w:sz w:val="24"/>
          <w:szCs w:val="24"/>
        </w:rPr>
      </w:pPr>
      <w:r>
        <w:rPr>
          <w:sz w:val="24"/>
          <w:szCs w:val="24"/>
        </w:rPr>
        <w:t>Procurador</w:t>
      </w:r>
    </w:p>
    <w:p w:rsidR="00EF07F8" w:rsidRPr="00E501C1" w:rsidRDefault="00B26FE9" w:rsidP="004601B0">
      <w:pPr>
        <w:spacing w:after="0" w:line="360" w:lineRule="auto"/>
        <w:jc w:val="center"/>
        <w:rPr>
          <w:sz w:val="24"/>
          <w:szCs w:val="24"/>
        </w:rPr>
      </w:pPr>
      <w:r>
        <w:rPr>
          <w:sz w:val="24"/>
          <w:szCs w:val="24"/>
        </w:rPr>
        <w:t>OAB/RS nº 110.114B</w:t>
      </w:r>
    </w:p>
    <w:sectPr w:rsidR="00EF07F8" w:rsidRPr="00E501C1" w:rsidSect="00B365A3">
      <w:headerReference w:type="default" r:id="rId8"/>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401B" w:rsidRDefault="00C9401B" w:rsidP="00B365A3">
      <w:pPr>
        <w:spacing w:after="0" w:line="240" w:lineRule="auto"/>
      </w:pPr>
      <w:r>
        <w:separator/>
      </w:r>
    </w:p>
  </w:endnote>
  <w:endnote w:type="continuationSeparator" w:id="1">
    <w:p w:rsidR="00C9401B" w:rsidRDefault="00C9401B"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401B" w:rsidRDefault="00C9401B" w:rsidP="00B365A3">
      <w:pPr>
        <w:spacing w:after="0" w:line="240" w:lineRule="auto"/>
      </w:pPr>
      <w:r>
        <w:separator/>
      </w:r>
    </w:p>
  </w:footnote>
  <w:footnote w:type="continuationSeparator" w:id="1">
    <w:p w:rsidR="00C9401B" w:rsidRDefault="00C9401B"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0B7B" w:rsidRDefault="00840B7B"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autoHyphenation/>
  <w:hyphenationZone w:val="425"/>
  <w:characterSpacingControl w:val="doNotCompress"/>
  <w:footnotePr>
    <w:footnote w:id="0"/>
    <w:footnote w:id="1"/>
  </w:footnotePr>
  <w:endnotePr>
    <w:endnote w:id="0"/>
    <w:endnote w:id="1"/>
  </w:endnotePr>
  <w:compat/>
  <w:rsids>
    <w:rsidRoot w:val="00B365A3"/>
    <w:rsid w:val="000111AD"/>
    <w:rsid w:val="000171ED"/>
    <w:rsid w:val="0002562C"/>
    <w:rsid w:val="00032713"/>
    <w:rsid w:val="00036BC1"/>
    <w:rsid w:val="00052488"/>
    <w:rsid w:val="000714D3"/>
    <w:rsid w:val="00110DB4"/>
    <w:rsid w:val="001144C0"/>
    <w:rsid w:val="00154278"/>
    <w:rsid w:val="001A0998"/>
    <w:rsid w:val="001D262F"/>
    <w:rsid w:val="001D6B37"/>
    <w:rsid w:val="001F5FE9"/>
    <w:rsid w:val="001F6BDB"/>
    <w:rsid w:val="00213133"/>
    <w:rsid w:val="002D2ABF"/>
    <w:rsid w:val="002E6A65"/>
    <w:rsid w:val="002F2C0D"/>
    <w:rsid w:val="00301D5B"/>
    <w:rsid w:val="003355AE"/>
    <w:rsid w:val="003617F4"/>
    <w:rsid w:val="00371666"/>
    <w:rsid w:val="00382C99"/>
    <w:rsid w:val="00384C9D"/>
    <w:rsid w:val="00387D24"/>
    <w:rsid w:val="003A288D"/>
    <w:rsid w:val="003B6193"/>
    <w:rsid w:val="003C1EF3"/>
    <w:rsid w:val="003C2C5D"/>
    <w:rsid w:val="003F61CA"/>
    <w:rsid w:val="00402D88"/>
    <w:rsid w:val="00405170"/>
    <w:rsid w:val="0041616C"/>
    <w:rsid w:val="00431C88"/>
    <w:rsid w:val="00447D2C"/>
    <w:rsid w:val="00455F15"/>
    <w:rsid w:val="004601B0"/>
    <w:rsid w:val="00475579"/>
    <w:rsid w:val="00476596"/>
    <w:rsid w:val="00495CDA"/>
    <w:rsid w:val="004A739D"/>
    <w:rsid w:val="004C31B1"/>
    <w:rsid w:val="005144C9"/>
    <w:rsid w:val="00520431"/>
    <w:rsid w:val="005449BA"/>
    <w:rsid w:val="0054797B"/>
    <w:rsid w:val="00592669"/>
    <w:rsid w:val="005A2077"/>
    <w:rsid w:val="005A2E7F"/>
    <w:rsid w:val="005C0121"/>
    <w:rsid w:val="005D373A"/>
    <w:rsid w:val="005F0B86"/>
    <w:rsid w:val="00620F14"/>
    <w:rsid w:val="0062145F"/>
    <w:rsid w:val="006416DA"/>
    <w:rsid w:val="0065091C"/>
    <w:rsid w:val="00650D2A"/>
    <w:rsid w:val="00673634"/>
    <w:rsid w:val="00676DA7"/>
    <w:rsid w:val="00683721"/>
    <w:rsid w:val="00684604"/>
    <w:rsid w:val="006C0135"/>
    <w:rsid w:val="006D7519"/>
    <w:rsid w:val="006E6EC4"/>
    <w:rsid w:val="006E7F64"/>
    <w:rsid w:val="006F30DB"/>
    <w:rsid w:val="0072082B"/>
    <w:rsid w:val="00737DC1"/>
    <w:rsid w:val="00747908"/>
    <w:rsid w:val="007520A0"/>
    <w:rsid w:val="00752F5F"/>
    <w:rsid w:val="00754F21"/>
    <w:rsid w:val="00764CD0"/>
    <w:rsid w:val="0077504B"/>
    <w:rsid w:val="007854E6"/>
    <w:rsid w:val="007C326B"/>
    <w:rsid w:val="008104C6"/>
    <w:rsid w:val="00811016"/>
    <w:rsid w:val="008138B2"/>
    <w:rsid w:val="00813CB9"/>
    <w:rsid w:val="00814386"/>
    <w:rsid w:val="008165C9"/>
    <w:rsid w:val="00820BFB"/>
    <w:rsid w:val="00840B7B"/>
    <w:rsid w:val="00841BDC"/>
    <w:rsid w:val="008426D4"/>
    <w:rsid w:val="0084390B"/>
    <w:rsid w:val="00847C81"/>
    <w:rsid w:val="00853BE2"/>
    <w:rsid w:val="00866AD7"/>
    <w:rsid w:val="00867DB8"/>
    <w:rsid w:val="00887149"/>
    <w:rsid w:val="008A02A8"/>
    <w:rsid w:val="008D13AB"/>
    <w:rsid w:val="008E027D"/>
    <w:rsid w:val="008E2471"/>
    <w:rsid w:val="00905B60"/>
    <w:rsid w:val="009151E8"/>
    <w:rsid w:val="0091573B"/>
    <w:rsid w:val="00965DF3"/>
    <w:rsid w:val="009677B1"/>
    <w:rsid w:val="009762CB"/>
    <w:rsid w:val="00984974"/>
    <w:rsid w:val="00994DCE"/>
    <w:rsid w:val="009A1232"/>
    <w:rsid w:val="009B1ADE"/>
    <w:rsid w:val="009B7D3B"/>
    <w:rsid w:val="009C7FE3"/>
    <w:rsid w:val="009E03A3"/>
    <w:rsid w:val="009E2D84"/>
    <w:rsid w:val="009E580C"/>
    <w:rsid w:val="009F2034"/>
    <w:rsid w:val="00A21D45"/>
    <w:rsid w:val="00A25FA3"/>
    <w:rsid w:val="00A35C02"/>
    <w:rsid w:val="00A45801"/>
    <w:rsid w:val="00A77DF1"/>
    <w:rsid w:val="00A808BC"/>
    <w:rsid w:val="00A91A8F"/>
    <w:rsid w:val="00A95986"/>
    <w:rsid w:val="00AB60D0"/>
    <w:rsid w:val="00AC66CD"/>
    <w:rsid w:val="00AD6EA4"/>
    <w:rsid w:val="00AE1364"/>
    <w:rsid w:val="00AE7283"/>
    <w:rsid w:val="00AF5226"/>
    <w:rsid w:val="00AF6E8B"/>
    <w:rsid w:val="00B06988"/>
    <w:rsid w:val="00B26FE9"/>
    <w:rsid w:val="00B365A3"/>
    <w:rsid w:val="00B4348A"/>
    <w:rsid w:val="00B500EF"/>
    <w:rsid w:val="00B52B8D"/>
    <w:rsid w:val="00B61C96"/>
    <w:rsid w:val="00B717A9"/>
    <w:rsid w:val="00B97EDA"/>
    <w:rsid w:val="00BA3324"/>
    <w:rsid w:val="00BA7791"/>
    <w:rsid w:val="00BB3564"/>
    <w:rsid w:val="00BB797F"/>
    <w:rsid w:val="00C000CF"/>
    <w:rsid w:val="00C01DA1"/>
    <w:rsid w:val="00C022E8"/>
    <w:rsid w:val="00C02AB6"/>
    <w:rsid w:val="00C07345"/>
    <w:rsid w:val="00C12338"/>
    <w:rsid w:val="00C547BD"/>
    <w:rsid w:val="00C72C1D"/>
    <w:rsid w:val="00C7445E"/>
    <w:rsid w:val="00C80D0C"/>
    <w:rsid w:val="00C91A25"/>
    <w:rsid w:val="00C9401B"/>
    <w:rsid w:val="00CA219B"/>
    <w:rsid w:val="00CC7C29"/>
    <w:rsid w:val="00CF2F22"/>
    <w:rsid w:val="00D02BD7"/>
    <w:rsid w:val="00D06436"/>
    <w:rsid w:val="00D43D8F"/>
    <w:rsid w:val="00D6518A"/>
    <w:rsid w:val="00D83E2C"/>
    <w:rsid w:val="00D84EE7"/>
    <w:rsid w:val="00D964FF"/>
    <w:rsid w:val="00DA7A73"/>
    <w:rsid w:val="00DC04D8"/>
    <w:rsid w:val="00DC0FFE"/>
    <w:rsid w:val="00DD25AB"/>
    <w:rsid w:val="00DD3F5B"/>
    <w:rsid w:val="00DF13AC"/>
    <w:rsid w:val="00E03304"/>
    <w:rsid w:val="00E268FE"/>
    <w:rsid w:val="00E37DCF"/>
    <w:rsid w:val="00E501C1"/>
    <w:rsid w:val="00E5368A"/>
    <w:rsid w:val="00E6341B"/>
    <w:rsid w:val="00E967E0"/>
    <w:rsid w:val="00EC20BC"/>
    <w:rsid w:val="00EF07F8"/>
    <w:rsid w:val="00EF6627"/>
    <w:rsid w:val="00F00675"/>
    <w:rsid w:val="00F03260"/>
    <w:rsid w:val="00F16437"/>
    <w:rsid w:val="00F17BF3"/>
    <w:rsid w:val="00F46472"/>
    <w:rsid w:val="00F473F2"/>
    <w:rsid w:val="00F5729A"/>
    <w:rsid w:val="00F6334E"/>
    <w:rsid w:val="00F6465F"/>
    <w:rsid w:val="00F67B24"/>
    <w:rsid w:val="00F85172"/>
    <w:rsid w:val="00F94625"/>
    <w:rsid w:val="00FA2949"/>
    <w:rsid w:val="00FB1678"/>
    <w:rsid w:val="00FB1DF2"/>
    <w:rsid w:val="00FB33E0"/>
    <w:rsid w:val="00FC4FA4"/>
    <w:rsid w:val="00FC555C"/>
    <w:rsid w:val="00FC7BD1"/>
    <w:rsid w:val="00FF0CEB"/>
    <w:rsid w:val="00FF1F3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AE728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CA219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19B"/>
    <w:rPr>
      <w:sz w:val="20"/>
      <w:szCs w:val="20"/>
    </w:rPr>
  </w:style>
  <w:style w:type="character" w:styleId="Refdenotaderodap">
    <w:name w:val="footnote reference"/>
    <w:basedOn w:val="Fontepargpadro"/>
    <w:uiPriority w:val="99"/>
    <w:semiHidden/>
    <w:unhideWhenUsed/>
    <w:rsid w:val="00CA219B"/>
    <w:rPr>
      <w:vertAlign w:val="superscript"/>
    </w:rPr>
  </w:style>
</w:styles>
</file>

<file path=word/webSettings.xml><?xml version="1.0" encoding="utf-8"?>
<w:webSettings xmlns:r="http://schemas.openxmlformats.org/officeDocument/2006/relationships" xmlns:w="http://schemas.openxmlformats.org/wordprocessingml/2006/main">
  <w:divs>
    <w:div w:id="249505802">
      <w:bodyDiv w:val="1"/>
      <w:marLeft w:val="0"/>
      <w:marRight w:val="0"/>
      <w:marTop w:val="0"/>
      <w:marBottom w:val="0"/>
      <w:divBdr>
        <w:top w:val="none" w:sz="0" w:space="0" w:color="auto"/>
        <w:left w:val="none" w:sz="0" w:space="0" w:color="auto"/>
        <w:bottom w:val="none" w:sz="0" w:space="0" w:color="auto"/>
        <w:right w:val="none" w:sz="0" w:space="0" w:color="auto"/>
      </w:divBdr>
    </w:div>
    <w:div w:id="433746512">
      <w:bodyDiv w:val="1"/>
      <w:marLeft w:val="0"/>
      <w:marRight w:val="0"/>
      <w:marTop w:val="0"/>
      <w:marBottom w:val="0"/>
      <w:divBdr>
        <w:top w:val="none" w:sz="0" w:space="0" w:color="auto"/>
        <w:left w:val="none" w:sz="0" w:space="0" w:color="auto"/>
        <w:bottom w:val="none" w:sz="0" w:space="0" w:color="auto"/>
        <w:right w:val="none" w:sz="0" w:space="0" w:color="auto"/>
      </w:divBdr>
    </w:div>
    <w:div w:id="145636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A5377-A7F4-4A3B-ACFC-34F30DEA8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Pages>
  <Words>2575</Words>
  <Characters>13906</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cp:lastModifiedBy>
  <cp:revision>8</cp:revision>
  <cp:lastPrinted>2017-09-19T16:15:00Z</cp:lastPrinted>
  <dcterms:created xsi:type="dcterms:W3CDTF">2021-07-12T17:50:00Z</dcterms:created>
  <dcterms:modified xsi:type="dcterms:W3CDTF">2021-07-12T18:33:00Z</dcterms:modified>
</cp:coreProperties>
</file>