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0612DC" w:rsidRDefault="008138B2" w:rsidP="0067605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612DC">
        <w:rPr>
          <w:rFonts w:ascii="Palatino Linotype" w:hAnsi="Palatino Linotype"/>
          <w:b/>
          <w:sz w:val="24"/>
          <w:szCs w:val="24"/>
        </w:rPr>
        <w:t>PARECER JURÍDICO</w:t>
      </w:r>
      <w:r w:rsidR="0067605E" w:rsidRPr="000612DC">
        <w:rPr>
          <w:rFonts w:ascii="Palatino Linotype" w:hAnsi="Palatino Linotype"/>
          <w:b/>
          <w:sz w:val="24"/>
          <w:szCs w:val="24"/>
        </w:rPr>
        <w:t xml:space="preserve"> Nº </w:t>
      </w:r>
      <w:r w:rsidR="000612DC">
        <w:rPr>
          <w:rFonts w:ascii="Palatino Linotype" w:hAnsi="Palatino Linotype"/>
          <w:b/>
          <w:sz w:val="24"/>
          <w:szCs w:val="24"/>
        </w:rPr>
        <w:t>320</w:t>
      </w:r>
      <w:r w:rsidR="0067605E" w:rsidRPr="000612DC">
        <w:rPr>
          <w:rFonts w:ascii="Palatino Linotype" w:hAnsi="Palatino Linotype"/>
          <w:b/>
          <w:sz w:val="24"/>
          <w:szCs w:val="24"/>
        </w:rPr>
        <w:t>/202</w:t>
      </w:r>
      <w:r w:rsidR="000612DC" w:rsidRPr="000612DC">
        <w:rPr>
          <w:rFonts w:ascii="Palatino Linotype" w:hAnsi="Palatino Linotype"/>
          <w:b/>
          <w:sz w:val="24"/>
          <w:szCs w:val="24"/>
        </w:rPr>
        <w:t>1</w:t>
      </w:r>
    </w:p>
    <w:p w:rsidR="0067605E" w:rsidRPr="000612DC" w:rsidRDefault="0067605E" w:rsidP="008138B2">
      <w:pPr>
        <w:spacing w:after="0" w:line="360" w:lineRule="auto"/>
        <w:jc w:val="center"/>
        <w:rPr>
          <w:rFonts w:ascii="Palatino Linotype" w:hAnsi="Palatino Linotype"/>
          <w:b/>
          <w:sz w:val="24"/>
          <w:szCs w:val="24"/>
        </w:rPr>
      </w:pPr>
    </w:p>
    <w:p w:rsidR="008138B2" w:rsidRPr="000612DC" w:rsidRDefault="00F85172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612DC">
        <w:rPr>
          <w:rFonts w:ascii="Palatino Linotype" w:hAnsi="Palatino Linotype"/>
          <w:b/>
          <w:sz w:val="24"/>
          <w:szCs w:val="24"/>
        </w:rPr>
        <w:t>RELATÓRIO</w:t>
      </w:r>
    </w:p>
    <w:p w:rsidR="008138B2" w:rsidRPr="000612DC" w:rsidRDefault="008138B2" w:rsidP="008138B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8138B2" w:rsidRPr="000612DC" w:rsidRDefault="0067605E" w:rsidP="0067605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0612DC">
        <w:rPr>
          <w:rFonts w:ascii="Palatino Linotype" w:hAnsi="Palatino Linotype"/>
          <w:sz w:val="24"/>
          <w:szCs w:val="24"/>
        </w:rPr>
        <w:t xml:space="preserve">O </w:t>
      </w:r>
      <w:r w:rsidR="000612DC">
        <w:rPr>
          <w:rFonts w:ascii="Palatino Linotype" w:hAnsi="Palatino Linotype"/>
          <w:sz w:val="24"/>
          <w:szCs w:val="24"/>
        </w:rPr>
        <w:t>Vereador Ale Alves (PDT)</w:t>
      </w:r>
      <w:r w:rsidRPr="000612DC">
        <w:rPr>
          <w:rFonts w:ascii="Palatino Linotype" w:hAnsi="Palatino Linotype"/>
          <w:sz w:val="24"/>
          <w:szCs w:val="24"/>
        </w:rPr>
        <w:t xml:space="preserve"> apresentou o Projeto de Lei nº 0</w:t>
      </w:r>
      <w:r w:rsidR="000612DC">
        <w:rPr>
          <w:rFonts w:ascii="Palatino Linotype" w:hAnsi="Palatino Linotype"/>
          <w:sz w:val="24"/>
          <w:szCs w:val="24"/>
        </w:rPr>
        <w:t>71</w:t>
      </w:r>
      <w:r w:rsidRPr="000612DC">
        <w:rPr>
          <w:rFonts w:ascii="Palatino Linotype" w:hAnsi="Palatino Linotype"/>
          <w:sz w:val="24"/>
          <w:szCs w:val="24"/>
        </w:rPr>
        <w:t xml:space="preserve">/2020 à Câmara Municipal, </w:t>
      </w:r>
      <w:r w:rsidR="000612DC">
        <w:rPr>
          <w:rFonts w:ascii="Palatino Linotype" w:hAnsi="Palatino Linotype"/>
          <w:sz w:val="24"/>
          <w:szCs w:val="24"/>
        </w:rPr>
        <w:t>o qual “</w:t>
      </w:r>
      <w:r w:rsidR="000612DC" w:rsidRPr="000612DC">
        <w:rPr>
          <w:rFonts w:ascii="Palatino Linotype" w:hAnsi="Palatino Linotype"/>
          <w:sz w:val="24"/>
          <w:szCs w:val="24"/>
        </w:rPr>
        <w:t>Institui a Política Municipal de Utilização Sustentável dos Veículos de Tração Animal VTA e redução gradativa do Uso e dá outras Providê</w:t>
      </w:r>
      <w:r w:rsidR="000612DC" w:rsidRPr="000612DC">
        <w:rPr>
          <w:rFonts w:ascii="Palatino Linotype" w:hAnsi="Palatino Linotype"/>
          <w:sz w:val="24"/>
          <w:szCs w:val="24"/>
        </w:rPr>
        <w:t>n</w:t>
      </w:r>
      <w:r w:rsidR="000612DC" w:rsidRPr="000612DC">
        <w:rPr>
          <w:rFonts w:ascii="Palatino Linotype" w:hAnsi="Palatino Linotype"/>
          <w:sz w:val="24"/>
          <w:szCs w:val="24"/>
        </w:rPr>
        <w:t>cias</w:t>
      </w:r>
      <w:r w:rsidR="000612DC">
        <w:rPr>
          <w:rFonts w:ascii="Palatino Linotype" w:hAnsi="Palatino Linotype"/>
          <w:sz w:val="24"/>
          <w:szCs w:val="24"/>
        </w:rPr>
        <w:t>”</w:t>
      </w:r>
      <w:r w:rsidRPr="000612DC">
        <w:rPr>
          <w:rFonts w:ascii="Palatino Linotype" w:hAnsi="Palatino Linotype"/>
          <w:sz w:val="24"/>
          <w:szCs w:val="24"/>
        </w:rPr>
        <w:t xml:space="preserve">. </w:t>
      </w:r>
      <w:r w:rsidR="007037C8" w:rsidRPr="000612DC">
        <w:rPr>
          <w:rFonts w:ascii="Palatino Linotype" w:hAnsi="Palatino Linotype"/>
          <w:sz w:val="24"/>
          <w:szCs w:val="24"/>
        </w:rPr>
        <w:t>O parecer orientou</w:t>
      </w:r>
      <w:r w:rsidR="00725DFE" w:rsidRPr="000612DC">
        <w:rPr>
          <w:rFonts w:ascii="Palatino Linotype" w:hAnsi="Palatino Linotype"/>
          <w:sz w:val="24"/>
          <w:szCs w:val="24"/>
        </w:rPr>
        <w:t xml:space="preserve"> pela</w:t>
      </w:r>
      <w:r w:rsidR="00F74918" w:rsidRPr="000612DC">
        <w:rPr>
          <w:rFonts w:ascii="Palatino Linotype" w:hAnsi="Palatino Linotype"/>
          <w:sz w:val="24"/>
          <w:szCs w:val="24"/>
        </w:rPr>
        <w:t xml:space="preserve"> </w:t>
      </w:r>
      <w:r w:rsidRPr="000612DC">
        <w:rPr>
          <w:rFonts w:ascii="Palatino Linotype" w:hAnsi="Palatino Linotype"/>
          <w:sz w:val="24"/>
          <w:szCs w:val="24"/>
        </w:rPr>
        <w:t>legal</w:t>
      </w:r>
      <w:r w:rsidRPr="000612DC">
        <w:rPr>
          <w:rFonts w:ascii="Palatino Linotype" w:hAnsi="Palatino Linotype"/>
          <w:sz w:val="24"/>
          <w:szCs w:val="24"/>
        </w:rPr>
        <w:t>i</w:t>
      </w:r>
      <w:r w:rsidRPr="000612DC">
        <w:rPr>
          <w:rFonts w:ascii="Palatino Linotype" w:hAnsi="Palatino Linotype"/>
          <w:sz w:val="24"/>
          <w:szCs w:val="24"/>
        </w:rPr>
        <w:t>dade da proposição. Em seguida,</w:t>
      </w:r>
      <w:r w:rsidR="000612DC">
        <w:rPr>
          <w:rFonts w:ascii="Palatino Linotype" w:hAnsi="Palatino Linotype"/>
          <w:sz w:val="24"/>
          <w:szCs w:val="24"/>
        </w:rPr>
        <w:t xml:space="preserve"> após pedido de adiamento de votação em Plenário,</w:t>
      </w:r>
      <w:r w:rsidRPr="000612DC">
        <w:rPr>
          <w:rFonts w:ascii="Palatino Linotype" w:hAnsi="Palatino Linotype"/>
          <w:sz w:val="24"/>
          <w:szCs w:val="24"/>
        </w:rPr>
        <w:t xml:space="preserve"> </w:t>
      </w:r>
      <w:r w:rsidR="0011662A" w:rsidRPr="000612DC">
        <w:rPr>
          <w:rFonts w:ascii="Palatino Linotype" w:hAnsi="Palatino Linotype"/>
          <w:sz w:val="24"/>
          <w:szCs w:val="24"/>
        </w:rPr>
        <w:t>o</w:t>
      </w:r>
      <w:r w:rsidRPr="000612DC">
        <w:rPr>
          <w:rFonts w:ascii="Palatino Linotype" w:hAnsi="Palatino Linotype"/>
          <w:sz w:val="24"/>
          <w:szCs w:val="24"/>
        </w:rPr>
        <w:t xml:space="preserve"> Vereador </w:t>
      </w:r>
      <w:r w:rsidR="0011662A" w:rsidRPr="000612DC">
        <w:rPr>
          <w:rFonts w:ascii="Palatino Linotype" w:hAnsi="Palatino Linotype"/>
          <w:sz w:val="24"/>
          <w:szCs w:val="24"/>
        </w:rPr>
        <w:t>Juliano Ferreira (PTB)</w:t>
      </w:r>
      <w:r w:rsidRPr="000612DC">
        <w:rPr>
          <w:rFonts w:ascii="Palatino Linotype" w:hAnsi="Palatino Linotype"/>
          <w:sz w:val="24"/>
          <w:szCs w:val="24"/>
        </w:rPr>
        <w:t xml:space="preserve"> apresentou </w:t>
      </w:r>
      <w:r w:rsidR="000612DC" w:rsidRPr="003E1A6A">
        <w:rPr>
          <w:rFonts w:ascii="Palatino Linotype" w:hAnsi="Palatino Linotype"/>
          <w:b/>
          <w:sz w:val="24"/>
          <w:szCs w:val="24"/>
        </w:rPr>
        <w:t>E</w:t>
      </w:r>
      <w:r w:rsidRPr="003E1A6A">
        <w:rPr>
          <w:rFonts w:ascii="Palatino Linotype" w:hAnsi="Palatino Linotype"/>
          <w:b/>
          <w:sz w:val="24"/>
          <w:szCs w:val="24"/>
        </w:rPr>
        <w:t>menda</w:t>
      </w:r>
      <w:r w:rsidRPr="000612DC">
        <w:rPr>
          <w:rFonts w:ascii="Palatino Linotype" w:hAnsi="Palatino Linotype"/>
          <w:sz w:val="24"/>
          <w:szCs w:val="24"/>
        </w:rPr>
        <w:t xml:space="preserve"> ao projeto, </w:t>
      </w:r>
      <w:r w:rsidR="000612DC">
        <w:rPr>
          <w:rFonts w:ascii="Palatino Linotype" w:hAnsi="Palatino Linotype"/>
          <w:sz w:val="24"/>
          <w:szCs w:val="24"/>
        </w:rPr>
        <w:t xml:space="preserve">a qual </w:t>
      </w:r>
      <w:r w:rsidR="000612DC" w:rsidRPr="000612DC">
        <w:rPr>
          <w:rFonts w:ascii="Palatino Linotype" w:hAnsi="Palatino Linotype"/>
          <w:sz w:val="24"/>
          <w:szCs w:val="24"/>
        </w:rPr>
        <w:t xml:space="preserve">foi encaminhada à Procuradoria pela Presidência para </w:t>
      </w:r>
      <w:r w:rsidR="000612DC" w:rsidRPr="000612DC">
        <w:rPr>
          <w:rFonts w:ascii="Palatino Linotype" w:hAnsi="Palatino Linotype"/>
          <w:sz w:val="24"/>
          <w:szCs w:val="24"/>
        </w:rPr>
        <w:t>a</w:t>
      </w:r>
      <w:r w:rsidR="000612DC" w:rsidRPr="000612DC">
        <w:rPr>
          <w:rFonts w:ascii="Palatino Linotype" w:hAnsi="Palatino Linotype"/>
          <w:sz w:val="24"/>
          <w:szCs w:val="24"/>
        </w:rPr>
        <w:t>nálise nos termos do art. 105 do Regimento Interno da Câmara Municipal</w:t>
      </w:r>
      <w:r w:rsidRPr="000612DC">
        <w:rPr>
          <w:rFonts w:ascii="Palatino Linotype" w:hAnsi="Palatino Linotype"/>
          <w:sz w:val="24"/>
          <w:szCs w:val="24"/>
        </w:rPr>
        <w:t>.</w:t>
      </w:r>
    </w:p>
    <w:p w:rsidR="008138B2" w:rsidRPr="000612DC" w:rsidRDefault="008138B2" w:rsidP="008138B2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8138B2" w:rsidRPr="000612DC" w:rsidRDefault="007037C8" w:rsidP="008138B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612DC">
        <w:rPr>
          <w:rFonts w:ascii="Palatino Linotype" w:hAnsi="Palatino Linotype"/>
          <w:b/>
          <w:sz w:val="24"/>
          <w:szCs w:val="24"/>
        </w:rPr>
        <w:t>MÉRITO</w:t>
      </w:r>
    </w:p>
    <w:p w:rsidR="008138B2" w:rsidRPr="000612DC" w:rsidRDefault="008138B2" w:rsidP="008138B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18401E" w:rsidRPr="000612DC" w:rsidRDefault="0018401E" w:rsidP="0018401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0612DC">
        <w:rPr>
          <w:rFonts w:ascii="Palatino Linotype" w:hAnsi="Palatino Linotype"/>
          <w:sz w:val="24"/>
          <w:szCs w:val="24"/>
        </w:rPr>
        <w:t xml:space="preserve">Sob o aspecto da iniciativa, não se vislumbra que a Emenda parlamentar </w:t>
      </w:r>
      <w:r w:rsidR="003E1A6A">
        <w:rPr>
          <w:rFonts w:ascii="Palatino Linotype" w:hAnsi="Palatino Linotype"/>
          <w:sz w:val="24"/>
          <w:szCs w:val="24"/>
        </w:rPr>
        <w:t>ao PLL nº 071/2021</w:t>
      </w:r>
      <w:r w:rsidRPr="000612DC">
        <w:rPr>
          <w:rFonts w:ascii="Palatino Linotype" w:hAnsi="Palatino Linotype"/>
          <w:sz w:val="24"/>
          <w:szCs w:val="24"/>
        </w:rPr>
        <w:t xml:space="preserve"> esbarre no disposto no artigo 63 da CF/88. Foi bem exercida, a</w:t>
      </w:r>
      <w:r w:rsidRPr="000612DC">
        <w:rPr>
          <w:rFonts w:ascii="Palatino Linotype" w:hAnsi="Palatino Linotype"/>
          <w:sz w:val="24"/>
          <w:szCs w:val="24"/>
        </w:rPr>
        <w:t>s</w:t>
      </w:r>
      <w:r w:rsidRPr="000612DC">
        <w:rPr>
          <w:rFonts w:ascii="Palatino Linotype" w:hAnsi="Palatino Linotype"/>
          <w:sz w:val="24"/>
          <w:szCs w:val="24"/>
        </w:rPr>
        <w:t>sim, a in</w:t>
      </w:r>
      <w:r w:rsidRPr="000612DC">
        <w:rPr>
          <w:rFonts w:ascii="Palatino Linotype" w:hAnsi="Palatino Linotype"/>
          <w:sz w:val="24"/>
          <w:szCs w:val="24"/>
        </w:rPr>
        <w:t>i</w:t>
      </w:r>
      <w:r w:rsidRPr="000612DC">
        <w:rPr>
          <w:rFonts w:ascii="Palatino Linotype" w:hAnsi="Palatino Linotype"/>
          <w:sz w:val="24"/>
          <w:szCs w:val="24"/>
        </w:rPr>
        <w:t xml:space="preserve">ciativa no que diz respeito ao poder de emenda dos parlamentares. </w:t>
      </w:r>
    </w:p>
    <w:p w:rsidR="0018401E" w:rsidRPr="000612DC" w:rsidRDefault="0018401E" w:rsidP="0018401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18401E" w:rsidRPr="000612DC" w:rsidRDefault="0018401E" w:rsidP="0018401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0612DC">
        <w:rPr>
          <w:rFonts w:ascii="Palatino Linotype" w:hAnsi="Palatino Linotype"/>
          <w:sz w:val="24"/>
          <w:szCs w:val="24"/>
        </w:rPr>
        <w:t xml:space="preserve">A respeito desse assunto, não é vedada, em regra, a apresentação de </w:t>
      </w:r>
      <w:r w:rsidRPr="000612DC">
        <w:rPr>
          <w:rFonts w:ascii="Palatino Linotype" w:hAnsi="Palatino Linotype"/>
          <w:sz w:val="24"/>
          <w:szCs w:val="24"/>
        </w:rPr>
        <w:t>e</w:t>
      </w:r>
      <w:r w:rsidRPr="000612DC">
        <w:rPr>
          <w:rFonts w:ascii="Palatino Linotype" w:hAnsi="Palatino Linotype"/>
          <w:sz w:val="24"/>
          <w:szCs w:val="24"/>
        </w:rPr>
        <w:t>mendas parlamentares a projetos de lei</w:t>
      </w:r>
      <w:r w:rsidR="000612DC">
        <w:rPr>
          <w:rFonts w:ascii="Palatino Linotype" w:hAnsi="Palatino Linotype"/>
          <w:sz w:val="24"/>
          <w:szCs w:val="24"/>
        </w:rPr>
        <w:t xml:space="preserve"> (inclusive se a propositura fosse de iniciativa do Prefeito Municipal)</w:t>
      </w:r>
      <w:r w:rsidRPr="000612DC">
        <w:rPr>
          <w:rFonts w:ascii="Palatino Linotype" w:hAnsi="Palatino Linotype"/>
          <w:sz w:val="24"/>
          <w:szCs w:val="24"/>
        </w:rPr>
        <w:t>. Os limites para o exercício desse poder estão fixados, inicia</w:t>
      </w:r>
      <w:r w:rsidRPr="000612DC">
        <w:rPr>
          <w:rFonts w:ascii="Palatino Linotype" w:hAnsi="Palatino Linotype"/>
          <w:sz w:val="24"/>
          <w:szCs w:val="24"/>
        </w:rPr>
        <w:t>l</w:t>
      </w:r>
      <w:r w:rsidRPr="000612DC">
        <w:rPr>
          <w:rFonts w:ascii="Palatino Linotype" w:hAnsi="Palatino Linotype"/>
          <w:sz w:val="24"/>
          <w:szCs w:val="24"/>
        </w:rPr>
        <w:t>mente, no artigo 63 da Constituição Federal, norma de reprod</w:t>
      </w:r>
      <w:r w:rsidRPr="000612DC">
        <w:rPr>
          <w:rFonts w:ascii="Palatino Linotype" w:hAnsi="Palatino Linotype"/>
          <w:sz w:val="24"/>
          <w:szCs w:val="24"/>
        </w:rPr>
        <w:t>u</w:t>
      </w:r>
      <w:r w:rsidRPr="000612DC">
        <w:rPr>
          <w:rFonts w:ascii="Palatino Linotype" w:hAnsi="Palatino Linotype"/>
          <w:sz w:val="24"/>
          <w:szCs w:val="24"/>
        </w:rPr>
        <w:t>ção obrigatória, a qual prevê:</w:t>
      </w:r>
    </w:p>
    <w:p w:rsidR="0018401E" w:rsidRPr="000612DC" w:rsidRDefault="0018401E" w:rsidP="0018401E">
      <w:pPr>
        <w:spacing w:after="0" w:line="240" w:lineRule="auto"/>
        <w:ind w:left="2268"/>
        <w:jc w:val="both"/>
        <w:rPr>
          <w:rFonts w:ascii="Palatino Linotype" w:hAnsi="Palatino Linotype"/>
          <w:sz w:val="24"/>
          <w:szCs w:val="24"/>
        </w:rPr>
      </w:pPr>
    </w:p>
    <w:p w:rsidR="0018401E" w:rsidRPr="000612DC" w:rsidRDefault="0018401E" w:rsidP="0018401E">
      <w:pPr>
        <w:spacing w:after="0" w:line="240" w:lineRule="auto"/>
        <w:ind w:left="2268"/>
        <w:jc w:val="both"/>
        <w:rPr>
          <w:rFonts w:ascii="Palatino Linotype" w:hAnsi="Palatino Linotype"/>
          <w:b/>
          <w:sz w:val="24"/>
          <w:szCs w:val="24"/>
        </w:rPr>
      </w:pPr>
      <w:r w:rsidRPr="000612DC">
        <w:rPr>
          <w:rFonts w:ascii="Palatino Linotype" w:hAnsi="Palatino Linotype"/>
          <w:sz w:val="24"/>
          <w:szCs w:val="24"/>
        </w:rPr>
        <w:t xml:space="preserve">Art. 63. </w:t>
      </w:r>
      <w:r w:rsidRPr="000612DC">
        <w:rPr>
          <w:rFonts w:ascii="Palatino Linotype" w:hAnsi="Palatino Linotype"/>
          <w:b/>
          <w:sz w:val="24"/>
          <w:szCs w:val="24"/>
        </w:rPr>
        <w:t xml:space="preserve">Não será admitido </w:t>
      </w:r>
      <w:r w:rsidRPr="000612DC">
        <w:rPr>
          <w:rFonts w:ascii="Palatino Linotype" w:hAnsi="Palatino Linotype"/>
          <w:b/>
          <w:sz w:val="24"/>
          <w:szCs w:val="24"/>
          <w:u w:val="single"/>
        </w:rPr>
        <w:t>aumento da despesa</w:t>
      </w:r>
      <w:r w:rsidRPr="000612DC">
        <w:rPr>
          <w:rFonts w:ascii="Palatino Linotype" w:hAnsi="Palatino Linotype"/>
          <w:b/>
          <w:sz w:val="24"/>
          <w:szCs w:val="24"/>
        </w:rPr>
        <w:t xml:space="preserve"> prevista:</w:t>
      </w:r>
    </w:p>
    <w:p w:rsidR="0018401E" w:rsidRPr="000612DC" w:rsidRDefault="0018401E" w:rsidP="0018401E">
      <w:pPr>
        <w:spacing w:after="0" w:line="240" w:lineRule="auto"/>
        <w:ind w:left="2268"/>
        <w:jc w:val="both"/>
        <w:rPr>
          <w:rFonts w:ascii="Palatino Linotype" w:hAnsi="Palatino Linotype"/>
          <w:b/>
          <w:sz w:val="24"/>
          <w:szCs w:val="24"/>
        </w:rPr>
      </w:pPr>
      <w:r w:rsidRPr="000612DC">
        <w:rPr>
          <w:rFonts w:ascii="Palatino Linotype" w:hAnsi="Palatino Linotype"/>
          <w:b/>
          <w:sz w:val="24"/>
          <w:szCs w:val="24"/>
        </w:rPr>
        <w:t>I - nos projetos de iniciativa exclusiva do Presidente da Rep</w:t>
      </w:r>
      <w:r w:rsidRPr="000612DC">
        <w:rPr>
          <w:rFonts w:ascii="Palatino Linotype" w:hAnsi="Palatino Linotype"/>
          <w:b/>
          <w:sz w:val="24"/>
          <w:szCs w:val="24"/>
        </w:rPr>
        <w:t>ú</w:t>
      </w:r>
      <w:r w:rsidRPr="000612DC">
        <w:rPr>
          <w:rFonts w:ascii="Palatino Linotype" w:hAnsi="Palatino Linotype"/>
          <w:b/>
          <w:sz w:val="24"/>
          <w:szCs w:val="24"/>
        </w:rPr>
        <w:t>blica, ressalvado o disposto no art. 166, § 3º e § 4º;</w:t>
      </w:r>
    </w:p>
    <w:p w:rsidR="0018401E" w:rsidRPr="000612DC" w:rsidRDefault="0018401E" w:rsidP="0018401E">
      <w:pPr>
        <w:spacing w:after="0" w:line="240" w:lineRule="auto"/>
        <w:ind w:left="2268"/>
        <w:jc w:val="both"/>
        <w:rPr>
          <w:rFonts w:ascii="Palatino Linotype" w:hAnsi="Palatino Linotype"/>
          <w:sz w:val="24"/>
          <w:szCs w:val="24"/>
        </w:rPr>
      </w:pPr>
      <w:r w:rsidRPr="000612DC">
        <w:rPr>
          <w:rFonts w:ascii="Palatino Linotype" w:hAnsi="Palatino Linotype"/>
          <w:sz w:val="24"/>
          <w:szCs w:val="24"/>
        </w:rPr>
        <w:lastRenderedPageBreak/>
        <w:t>II - nos projetos sobre organização dos serviços administrativos da Câmara dos Deputados, do Senado Federal, dos Tribunais Federais e do Ministério Público.</w:t>
      </w:r>
    </w:p>
    <w:p w:rsidR="0018401E" w:rsidRPr="000612DC" w:rsidRDefault="0018401E" w:rsidP="0018401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18401E" w:rsidRPr="000612DC" w:rsidRDefault="0018401E" w:rsidP="0018401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0612DC">
        <w:rPr>
          <w:rFonts w:ascii="Palatino Linotype" w:hAnsi="Palatino Linotype"/>
          <w:sz w:val="24"/>
          <w:szCs w:val="24"/>
        </w:rPr>
        <w:t>Na esfera municipal, refere o artigo 46-A da Lei Orgânica de Guaíba:</w:t>
      </w:r>
    </w:p>
    <w:p w:rsidR="0018401E" w:rsidRPr="000612DC" w:rsidRDefault="0018401E" w:rsidP="0018401E">
      <w:pPr>
        <w:spacing w:after="0" w:line="240" w:lineRule="auto"/>
        <w:ind w:left="2268"/>
        <w:jc w:val="both"/>
        <w:rPr>
          <w:rFonts w:ascii="Palatino Linotype" w:hAnsi="Palatino Linotype"/>
          <w:sz w:val="24"/>
          <w:szCs w:val="24"/>
        </w:rPr>
      </w:pPr>
      <w:r w:rsidRPr="000612DC">
        <w:rPr>
          <w:rFonts w:ascii="Palatino Linotype" w:hAnsi="Palatino Linotype"/>
          <w:sz w:val="24"/>
          <w:szCs w:val="24"/>
        </w:rPr>
        <w:t xml:space="preserve">Art. 46-A </w:t>
      </w:r>
      <w:r w:rsidRPr="000612DC">
        <w:rPr>
          <w:rFonts w:ascii="Palatino Linotype" w:hAnsi="Palatino Linotype"/>
          <w:b/>
          <w:sz w:val="24"/>
          <w:szCs w:val="24"/>
        </w:rPr>
        <w:t xml:space="preserve">Não será admitido </w:t>
      </w:r>
      <w:r w:rsidRPr="000612DC">
        <w:rPr>
          <w:rFonts w:ascii="Palatino Linotype" w:hAnsi="Palatino Linotype"/>
          <w:b/>
          <w:sz w:val="24"/>
          <w:szCs w:val="24"/>
          <w:u w:val="single"/>
        </w:rPr>
        <w:t>aumento na despesa</w:t>
      </w:r>
      <w:r w:rsidRPr="000612DC">
        <w:rPr>
          <w:rFonts w:ascii="Palatino Linotype" w:hAnsi="Palatino Linotype"/>
          <w:b/>
          <w:sz w:val="24"/>
          <w:szCs w:val="24"/>
        </w:rPr>
        <w:t xml:space="preserve"> prevista:</w:t>
      </w:r>
    </w:p>
    <w:p w:rsidR="0018401E" w:rsidRPr="000612DC" w:rsidRDefault="0018401E" w:rsidP="0018401E">
      <w:pPr>
        <w:spacing w:after="0" w:line="240" w:lineRule="auto"/>
        <w:ind w:left="2268"/>
        <w:jc w:val="both"/>
        <w:rPr>
          <w:rFonts w:ascii="Palatino Linotype" w:hAnsi="Palatino Linotype"/>
          <w:b/>
          <w:sz w:val="24"/>
          <w:szCs w:val="24"/>
        </w:rPr>
      </w:pPr>
      <w:r w:rsidRPr="000612DC">
        <w:rPr>
          <w:rFonts w:ascii="Palatino Linotype" w:hAnsi="Palatino Linotype"/>
          <w:b/>
          <w:sz w:val="24"/>
          <w:szCs w:val="24"/>
        </w:rPr>
        <w:t>I - nos projetos de iniciativa exclusiva do Prefeito;</w:t>
      </w:r>
    </w:p>
    <w:p w:rsidR="0018401E" w:rsidRPr="000612DC" w:rsidRDefault="0018401E" w:rsidP="0018401E">
      <w:pPr>
        <w:spacing w:after="0" w:line="240" w:lineRule="auto"/>
        <w:ind w:left="2268"/>
        <w:jc w:val="both"/>
        <w:rPr>
          <w:rFonts w:ascii="Palatino Linotype" w:hAnsi="Palatino Linotype"/>
          <w:sz w:val="24"/>
          <w:szCs w:val="24"/>
        </w:rPr>
      </w:pPr>
      <w:r w:rsidRPr="000612DC">
        <w:rPr>
          <w:rFonts w:ascii="Palatino Linotype" w:hAnsi="Palatino Linotype"/>
          <w:sz w:val="24"/>
          <w:szCs w:val="24"/>
        </w:rPr>
        <w:t>II - nos projetos sobre organização dos serviços administrativos da Câmara Municipal. (Redação acrescida pela Emenda à Lei Orgânica nº 2/2017)</w:t>
      </w:r>
    </w:p>
    <w:p w:rsidR="0018401E" w:rsidRPr="000612DC" w:rsidRDefault="0018401E" w:rsidP="0018401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18401E" w:rsidRPr="000612DC" w:rsidRDefault="0018401E" w:rsidP="0018401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0612DC">
        <w:rPr>
          <w:rFonts w:ascii="Palatino Linotype" w:hAnsi="Palatino Linotype"/>
          <w:sz w:val="24"/>
          <w:szCs w:val="24"/>
        </w:rPr>
        <w:t>Além disso, a jurisprudência pacífica defende que as emendas parlame</w:t>
      </w:r>
      <w:r w:rsidRPr="000612DC">
        <w:rPr>
          <w:rFonts w:ascii="Palatino Linotype" w:hAnsi="Palatino Linotype"/>
          <w:sz w:val="24"/>
          <w:szCs w:val="24"/>
        </w:rPr>
        <w:t>n</w:t>
      </w:r>
      <w:r w:rsidRPr="000612DC">
        <w:rPr>
          <w:rFonts w:ascii="Palatino Linotype" w:hAnsi="Palatino Linotype"/>
          <w:sz w:val="24"/>
          <w:szCs w:val="24"/>
        </w:rPr>
        <w:t>tares d</w:t>
      </w:r>
      <w:r w:rsidRPr="000612DC">
        <w:rPr>
          <w:rFonts w:ascii="Palatino Linotype" w:hAnsi="Palatino Linotype"/>
          <w:sz w:val="24"/>
          <w:szCs w:val="24"/>
        </w:rPr>
        <w:t>e</w:t>
      </w:r>
      <w:r w:rsidRPr="000612DC">
        <w:rPr>
          <w:rFonts w:ascii="Palatino Linotype" w:hAnsi="Palatino Linotype"/>
          <w:sz w:val="24"/>
          <w:szCs w:val="24"/>
        </w:rPr>
        <w:t xml:space="preserve">vem guardar o grau de </w:t>
      </w:r>
      <w:r w:rsidRPr="000612DC">
        <w:rPr>
          <w:rFonts w:ascii="Palatino Linotype" w:hAnsi="Palatino Linotype"/>
          <w:b/>
          <w:sz w:val="24"/>
          <w:szCs w:val="24"/>
        </w:rPr>
        <w:t>pertinência temática da proposta originária</w:t>
      </w:r>
      <w:r w:rsidRPr="000612DC">
        <w:rPr>
          <w:rFonts w:ascii="Palatino Linotype" w:hAnsi="Palatino Linotype"/>
          <w:sz w:val="24"/>
          <w:szCs w:val="24"/>
        </w:rPr>
        <w:t>, isto é, não podem ve</w:t>
      </w:r>
      <w:r w:rsidRPr="000612DC">
        <w:rPr>
          <w:rFonts w:ascii="Palatino Linotype" w:hAnsi="Palatino Linotype"/>
          <w:sz w:val="24"/>
          <w:szCs w:val="24"/>
        </w:rPr>
        <w:t>i</w:t>
      </w:r>
      <w:r w:rsidRPr="000612DC">
        <w:rPr>
          <w:rFonts w:ascii="Palatino Linotype" w:hAnsi="Palatino Linotype"/>
          <w:sz w:val="24"/>
          <w:szCs w:val="24"/>
        </w:rPr>
        <w:t>cular matérias diferentes das previstas inicialmente, de modo a não desnaturá-las ou de</w:t>
      </w:r>
      <w:r w:rsidRPr="000612DC">
        <w:rPr>
          <w:rFonts w:ascii="Palatino Linotype" w:hAnsi="Palatino Linotype"/>
          <w:sz w:val="24"/>
          <w:szCs w:val="24"/>
        </w:rPr>
        <w:t>s</w:t>
      </w:r>
      <w:r w:rsidRPr="000612DC">
        <w:rPr>
          <w:rFonts w:ascii="Palatino Linotype" w:hAnsi="Palatino Linotype"/>
          <w:sz w:val="24"/>
          <w:szCs w:val="24"/>
        </w:rPr>
        <w:t>configurá-las. Veja-se o julgado do Supremo Tribunal Federal:</w:t>
      </w:r>
    </w:p>
    <w:p w:rsidR="0018401E" w:rsidRPr="000612DC" w:rsidRDefault="0018401E" w:rsidP="0018401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18401E" w:rsidRPr="000612DC" w:rsidRDefault="0018401E" w:rsidP="0018401E">
      <w:pPr>
        <w:spacing w:after="0" w:line="240" w:lineRule="auto"/>
        <w:ind w:left="2268"/>
        <w:jc w:val="both"/>
        <w:rPr>
          <w:rFonts w:ascii="Palatino Linotype" w:hAnsi="Palatino Linotype"/>
          <w:sz w:val="24"/>
          <w:szCs w:val="24"/>
        </w:rPr>
      </w:pPr>
      <w:r w:rsidRPr="000612DC">
        <w:rPr>
          <w:rFonts w:ascii="Palatino Linotype" w:hAnsi="Palatino Linotype"/>
          <w:sz w:val="24"/>
          <w:szCs w:val="24"/>
        </w:rPr>
        <w:t>A atuação dos integrantes da assembleia legislativa dos Est</w:t>
      </w:r>
      <w:r w:rsidRPr="000612DC">
        <w:rPr>
          <w:rFonts w:ascii="Palatino Linotype" w:hAnsi="Palatino Linotype"/>
          <w:sz w:val="24"/>
          <w:szCs w:val="24"/>
        </w:rPr>
        <w:t>a</w:t>
      </w:r>
      <w:r w:rsidRPr="000612DC">
        <w:rPr>
          <w:rFonts w:ascii="Palatino Linotype" w:hAnsi="Palatino Linotype"/>
          <w:sz w:val="24"/>
          <w:szCs w:val="24"/>
        </w:rPr>
        <w:t>dos-membros acha-se submetida, no processo de formação das leis, à l</w:t>
      </w:r>
      <w:r w:rsidRPr="000612DC">
        <w:rPr>
          <w:rFonts w:ascii="Palatino Linotype" w:hAnsi="Palatino Linotype"/>
          <w:sz w:val="24"/>
          <w:szCs w:val="24"/>
        </w:rPr>
        <w:t>i</w:t>
      </w:r>
      <w:r w:rsidRPr="000612DC">
        <w:rPr>
          <w:rFonts w:ascii="Palatino Linotype" w:hAnsi="Palatino Linotype"/>
          <w:sz w:val="24"/>
          <w:szCs w:val="24"/>
        </w:rPr>
        <w:t>mitação imposta pelo art. 63 da Constituição, que veda – ressalvadas as proposições de natureza orçamentária – o ofer</w:t>
      </w:r>
      <w:r w:rsidRPr="000612DC">
        <w:rPr>
          <w:rFonts w:ascii="Palatino Linotype" w:hAnsi="Palatino Linotype"/>
          <w:sz w:val="24"/>
          <w:szCs w:val="24"/>
        </w:rPr>
        <w:t>e</w:t>
      </w:r>
      <w:r w:rsidRPr="000612DC">
        <w:rPr>
          <w:rFonts w:ascii="Palatino Linotype" w:hAnsi="Palatino Linotype"/>
          <w:sz w:val="24"/>
          <w:szCs w:val="24"/>
        </w:rPr>
        <w:t>cimento de emendas parlamentares de que resulte o aumento da despesa prevista nos projetos sujeitos ao exclusivo poder de iniciativa do governador do Estado ou referentes à organização administrativa dos Poderes Legi</w:t>
      </w:r>
      <w:r w:rsidRPr="000612DC">
        <w:rPr>
          <w:rFonts w:ascii="Palatino Linotype" w:hAnsi="Palatino Linotype"/>
          <w:sz w:val="24"/>
          <w:szCs w:val="24"/>
        </w:rPr>
        <w:t>s</w:t>
      </w:r>
      <w:r w:rsidRPr="000612DC">
        <w:rPr>
          <w:rFonts w:ascii="Palatino Linotype" w:hAnsi="Palatino Linotype"/>
          <w:sz w:val="24"/>
          <w:szCs w:val="24"/>
        </w:rPr>
        <w:t xml:space="preserve">lativo e Judiciário locais, bem assim do Ministério Público estadual. </w:t>
      </w:r>
      <w:r w:rsidRPr="000612DC">
        <w:rPr>
          <w:rFonts w:ascii="Palatino Linotype" w:hAnsi="Palatino Linotype"/>
          <w:b/>
          <w:sz w:val="24"/>
          <w:szCs w:val="24"/>
          <w:u w:val="single"/>
        </w:rPr>
        <w:t>O exercício do poder de emenda, pelos membros do Parlamento, qualifica-se como prerrogativa inerente à função legislativa do Estado. O poder de emendar – que não constitui derivação do poder de in</w:t>
      </w:r>
      <w:r w:rsidRPr="000612DC">
        <w:rPr>
          <w:rFonts w:ascii="Palatino Linotype" w:hAnsi="Palatino Linotype"/>
          <w:b/>
          <w:sz w:val="24"/>
          <w:szCs w:val="24"/>
          <w:u w:val="single"/>
        </w:rPr>
        <w:t>i</w:t>
      </w:r>
      <w:r w:rsidRPr="000612DC">
        <w:rPr>
          <w:rFonts w:ascii="Palatino Linotype" w:hAnsi="Palatino Linotype"/>
          <w:b/>
          <w:sz w:val="24"/>
          <w:szCs w:val="24"/>
          <w:u w:val="single"/>
        </w:rPr>
        <w:t>ciar o processo de formação das leis – qualifica-se como prerrog</w:t>
      </w:r>
      <w:r w:rsidRPr="000612DC">
        <w:rPr>
          <w:rFonts w:ascii="Palatino Linotype" w:hAnsi="Palatino Linotype"/>
          <w:b/>
          <w:sz w:val="24"/>
          <w:szCs w:val="24"/>
          <w:u w:val="single"/>
        </w:rPr>
        <w:t>a</w:t>
      </w:r>
      <w:r w:rsidRPr="000612DC">
        <w:rPr>
          <w:rFonts w:ascii="Palatino Linotype" w:hAnsi="Palatino Linotype"/>
          <w:b/>
          <w:sz w:val="24"/>
          <w:szCs w:val="24"/>
          <w:u w:val="single"/>
        </w:rPr>
        <w:t>tiva deferida aos parlamentares, que se sujeitam, no entanto, quanto ao seu exercício, às restrições impostas, em numerus clausus, pela CF</w:t>
      </w:r>
      <w:r w:rsidRPr="000612DC">
        <w:rPr>
          <w:rFonts w:ascii="Palatino Linotype" w:hAnsi="Palatino Linotype"/>
          <w:sz w:val="24"/>
          <w:szCs w:val="24"/>
        </w:rPr>
        <w:t xml:space="preserve">. A CF de 1988, prestigiando o exercício da função parlamentar, </w:t>
      </w:r>
      <w:r w:rsidRPr="000612DC">
        <w:rPr>
          <w:rFonts w:ascii="Palatino Linotype" w:hAnsi="Palatino Linotype"/>
          <w:sz w:val="24"/>
          <w:szCs w:val="24"/>
        </w:rPr>
        <w:t>a</w:t>
      </w:r>
      <w:r w:rsidRPr="000612DC">
        <w:rPr>
          <w:rFonts w:ascii="Palatino Linotype" w:hAnsi="Palatino Linotype"/>
          <w:sz w:val="24"/>
          <w:szCs w:val="24"/>
        </w:rPr>
        <w:t>fastou muitas das restrições que incidiam, especificamente, no regime constitucional anterior, sobre o p</w:t>
      </w:r>
      <w:r w:rsidRPr="000612DC">
        <w:rPr>
          <w:rFonts w:ascii="Palatino Linotype" w:hAnsi="Palatino Linotype"/>
          <w:sz w:val="24"/>
          <w:szCs w:val="24"/>
        </w:rPr>
        <w:t>o</w:t>
      </w:r>
      <w:r w:rsidRPr="000612DC">
        <w:rPr>
          <w:rFonts w:ascii="Palatino Linotype" w:hAnsi="Palatino Linotype"/>
          <w:sz w:val="24"/>
          <w:szCs w:val="24"/>
        </w:rPr>
        <w:t>der de emenda reconhecido aos membros do Legislativo. O l</w:t>
      </w:r>
      <w:r w:rsidRPr="000612DC">
        <w:rPr>
          <w:rFonts w:ascii="Palatino Linotype" w:hAnsi="Palatino Linotype"/>
          <w:sz w:val="24"/>
          <w:szCs w:val="24"/>
        </w:rPr>
        <w:t>e</w:t>
      </w:r>
      <w:r w:rsidRPr="000612DC">
        <w:rPr>
          <w:rFonts w:ascii="Palatino Linotype" w:hAnsi="Palatino Linotype"/>
          <w:sz w:val="24"/>
          <w:szCs w:val="24"/>
        </w:rPr>
        <w:t>gislador constituinte, ao assim pr</w:t>
      </w:r>
      <w:r w:rsidRPr="000612DC">
        <w:rPr>
          <w:rFonts w:ascii="Palatino Linotype" w:hAnsi="Palatino Linotype"/>
          <w:sz w:val="24"/>
          <w:szCs w:val="24"/>
        </w:rPr>
        <w:t>o</w:t>
      </w:r>
      <w:r w:rsidRPr="000612DC">
        <w:rPr>
          <w:rFonts w:ascii="Palatino Linotype" w:hAnsi="Palatino Linotype"/>
          <w:sz w:val="24"/>
          <w:szCs w:val="24"/>
        </w:rPr>
        <w:t xml:space="preserve">ceder, certamente pretendeu </w:t>
      </w:r>
      <w:r w:rsidRPr="000612DC">
        <w:rPr>
          <w:rFonts w:ascii="Palatino Linotype" w:hAnsi="Palatino Linotype"/>
          <w:sz w:val="24"/>
          <w:szCs w:val="24"/>
        </w:rPr>
        <w:lastRenderedPageBreak/>
        <w:t>repudiar a concepção regalista de Estado (RTJ 32/143 – RTJ 33/107 – RTJ 34/6 – RTJ 40/348), que suprimiria, caso ainda pr</w:t>
      </w:r>
      <w:r w:rsidRPr="000612DC">
        <w:rPr>
          <w:rFonts w:ascii="Palatino Linotype" w:hAnsi="Palatino Linotype"/>
          <w:sz w:val="24"/>
          <w:szCs w:val="24"/>
        </w:rPr>
        <w:t>e</w:t>
      </w:r>
      <w:r w:rsidRPr="000612DC">
        <w:rPr>
          <w:rFonts w:ascii="Palatino Linotype" w:hAnsi="Palatino Linotype"/>
          <w:sz w:val="24"/>
          <w:szCs w:val="24"/>
        </w:rPr>
        <w:t>valecesse, o poder de emenda dos membros do Legislativo. R</w:t>
      </w:r>
      <w:r w:rsidRPr="000612DC">
        <w:rPr>
          <w:rFonts w:ascii="Palatino Linotype" w:hAnsi="Palatino Linotype"/>
          <w:sz w:val="24"/>
          <w:szCs w:val="24"/>
        </w:rPr>
        <w:t>e</w:t>
      </w:r>
      <w:r w:rsidRPr="000612DC">
        <w:rPr>
          <w:rFonts w:ascii="Palatino Linotype" w:hAnsi="Palatino Linotype"/>
          <w:sz w:val="24"/>
          <w:szCs w:val="24"/>
        </w:rPr>
        <w:t>vela-se plenamente legítimo, desse modo, o exercício do poder de emenda pelos parlamentares, mesmo quando se tratar de projetos de lei sujeitos à reserva de iniciativa de outros órgãos e Poderes do Estado, incidindo, no entanto, sobre essa prerrog</w:t>
      </w:r>
      <w:r w:rsidRPr="000612DC">
        <w:rPr>
          <w:rFonts w:ascii="Palatino Linotype" w:hAnsi="Palatino Linotype"/>
          <w:sz w:val="24"/>
          <w:szCs w:val="24"/>
        </w:rPr>
        <w:t>a</w:t>
      </w:r>
      <w:r w:rsidRPr="000612DC">
        <w:rPr>
          <w:rFonts w:ascii="Palatino Linotype" w:hAnsi="Palatino Linotype"/>
          <w:sz w:val="24"/>
          <w:szCs w:val="24"/>
        </w:rPr>
        <w:t>tiva parlamentar – que é inerente à atividade legislativa –, as restrições decorrentes do próprio texto constitucional (CF, art. 63, I e II), bem assim aquela fundada na exigência de que as emendas de iniciativa parlamentar sempre guardem relação de pertinência ("afinidade lógica") com o objeto da proposição l</w:t>
      </w:r>
      <w:r w:rsidRPr="000612DC">
        <w:rPr>
          <w:rFonts w:ascii="Palatino Linotype" w:hAnsi="Palatino Linotype"/>
          <w:sz w:val="24"/>
          <w:szCs w:val="24"/>
        </w:rPr>
        <w:t>e</w:t>
      </w:r>
      <w:r w:rsidRPr="000612DC">
        <w:rPr>
          <w:rFonts w:ascii="Palatino Linotype" w:hAnsi="Palatino Linotype"/>
          <w:sz w:val="24"/>
          <w:szCs w:val="24"/>
        </w:rPr>
        <w:t xml:space="preserve">gislativa. [ADI 2.681 MC, rel. min. Celso de Mello, j. 11-9-2002, P, DJE de 25-10-2013.] </w:t>
      </w:r>
    </w:p>
    <w:p w:rsidR="0018401E" w:rsidRPr="000612DC" w:rsidRDefault="0018401E" w:rsidP="0018401E">
      <w:pPr>
        <w:spacing w:after="0" w:line="240" w:lineRule="auto"/>
        <w:ind w:left="2268"/>
        <w:jc w:val="both"/>
        <w:rPr>
          <w:rFonts w:ascii="Palatino Linotype" w:hAnsi="Palatino Linotype"/>
          <w:sz w:val="24"/>
          <w:szCs w:val="24"/>
        </w:rPr>
      </w:pPr>
    </w:p>
    <w:p w:rsidR="0018401E" w:rsidRDefault="0018401E" w:rsidP="0018401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0612DC">
        <w:rPr>
          <w:rFonts w:ascii="Palatino Linotype" w:hAnsi="Palatino Linotype"/>
          <w:sz w:val="24"/>
          <w:szCs w:val="24"/>
        </w:rPr>
        <w:t>Diante desse contexto, está correta, sob o ponto de vista do ordenamento constitucional, a Emenda de iniciativa parlamentar proposta, tendo sido bem exerc</w:t>
      </w:r>
      <w:r w:rsidRPr="000612DC">
        <w:rPr>
          <w:rFonts w:ascii="Palatino Linotype" w:hAnsi="Palatino Linotype"/>
          <w:sz w:val="24"/>
          <w:szCs w:val="24"/>
        </w:rPr>
        <w:t>i</w:t>
      </w:r>
      <w:r w:rsidRPr="000612DC">
        <w:rPr>
          <w:rFonts w:ascii="Palatino Linotype" w:hAnsi="Palatino Linotype"/>
          <w:sz w:val="24"/>
          <w:szCs w:val="24"/>
        </w:rPr>
        <w:t>do o poder parlamentar de emendar, guardando pertinência temática com a proposta originária</w:t>
      </w:r>
      <w:r w:rsidR="0024404E">
        <w:rPr>
          <w:rFonts w:ascii="Palatino Linotype" w:hAnsi="Palatino Linotype"/>
          <w:sz w:val="24"/>
          <w:szCs w:val="24"/>
        </w:rPr>
        <w:t>, visando alterar tão somente as cláusulas de vigência da propositura legi</w:t>
      </w:r>
      <w:r w:rsidR="0024404E">
        <w:rPr>
          <w:rFonts w:ascii="Palatino Linotype" w:hAnsi="Palatino Linotype"/>
          <w:sz w:val="24"/>
          <w:szCs w:val="24"/>
        </w:rPr>
        <w:t>s</w:t>
      </w:r>
      <w:r w:rsidR="0024404E">
        <w:rPr>
          <w:rFonts w:ascii="Palatino Linotype" w:hAnsi="Palatino Linotype"/>
          <w:sz w:val="24"/>
          <w:szCs w:val="24"/>
        </w:rPr>
        <w:t>lativa</w:t>
      </w:r>
      <w:r w:rsidRPr="000612DC">
        <w:rPr>
          <w:rFonts w:ascii="Palatino Linotype" w:hAnsi="Palatino Linotype"/>
          <w:sz w:val="24"/>
          <w:szCs w:val="24"/>
        </w:rPr>
        <w:t>.</w:t>
      </w:r>
    </w:p>
    <w:p w:rsidR="000612DC" w:rsidRDefault="000612DC" w:rsidP="0018401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0612DC" w:rsidRPr="000612DC" w:rsidRDefault="000612DC" w:rsidP="000612DC">
      <w:pPr>
        <w:pStyle w:val="PargrafodaLista"/>
        <w:numPr>
          <w:ilvl w:val="1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612DC">
        <w:rPr>
          <w:rFonts w:ascii="Palatino Linotype" w:hAnsi="Palatino Linotype"/>
          <w:b/>
          <w:sz w:val="24"/>
          <w:szCs w:val="24"/>
        </w:rPr>
        <w:t xml:space="preserve"> DA (IN)TEMPESTIVIDADE DA EMENDA</w:t>
      </w:r>
    </w:p>
    <w:p w:rsidR="000612DC" w:rsidRDefault="000612DC" w:rsidP="0018401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0612DC" w:rsidRDefault="000612DC" w:rsidP="0018401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Por outro lado, sob o prisma do processo legislativo e </w:t>
      </w:r>
      <w:r w:rsidR="0024404E">
        <w:rPr>
          <w:rFonts w:ascii="Palatino Linotype" w:hAnsi="Palatino Linotype"/>
          <w:sz w:val="24"/>
          <w:szCs w:val="24"/>
        </w:rPr>
        <w:t>d</w:t>
      </w:r>
      <w:r>
        <w:rPr>
          <w:rFonts w:ascii="Palatino Linotype" w:hAnsi="Palatino Linotype"/>
          <w:sz w:val="24"/>
          <w:szCs w:val="24"/>
        </w:rPr>
        <w:t>as regras estabel</w:t>
      </w:r>
      <w:r>
        <w:rPr>
          <w:rFonts w:ascii="Palatino Linotype" w:hAnsi="Palatino Linotype"/>
          <w:sz w:val="24"/>
          <w:szCs w:val="24"/>
        </w:rPr>
        <w:t>e</w:t>
      </w:r>
      <w:r>
        <w:rPr>
          <w:rFonts w:ascii="Palatino Linotype" w:hAnsi="Palatino Linotype"/>
          <w:sz w:val="24"/>
          <w:szCs w:val="24"/>
        </w:rPr>
        <w:t xml:space="preserve">cidas pelo Regimento Interno, a Emenda parlamentar proposta </w:t>
      </w:r>
      <w:r w:rsidR="0024404E">
        <w:rPr>
          <w:rFonts w:ascii="Palatino Linotype" w:hAnsi="Palatino Linotype"/>
          <w:sz w:val="24"/>
          <w:szCs w:val="24"/>
        </w:rPr>
        <w:t xml:space="preserve">ao PLL nº 071/2020 </w:t>
      </w:r>
      <w:r>
        <w:rPr>
          <w:rFonts w:ascii="Palatino Linotype" w:hAnsi="Palatino Linotype"/>
          <w:sz w:val="24"/>
          <w:szCs w:val="24"/>
        </w:rPr>
        <w:t xml:space="preserve">caracteriza-se como intempestiva. Veja-se a esse respeito o artigo </w:t>
      </w:r>
      <w:r w:rsidR="0024404E">
        <w:rPr>
          <w:rFonts w:ascii="Palatino Linotype" w:hAnsi="Palatino Linotype"/>
          <w:sz w:val="24"/>
          <w:szCs w:val="24"/>
        </w:rPr>
        <w:t>94</w:t>
      </w:r>
      <w:r>
        <w:rPr>
          <w:rFonts w:ascii="Palatino Linotype" w:hAnsi="Palatino Linotype"/>
          <w:sz w:val="24"/>
          <w:szCs w:val="24"/>
        </w:rPr>
        <w:t xml:space="preserve"> do RI, que trata dos pedidos de ad</w:t>
      </w:r>
      <w:r>
        <w:rPr>
          <w:rFonts w:ascii="Palatino Linotype" w:hAnsi="Palatino Linotype"/>
          <w:sz w:val="24"/>
          <w:szCs w:val="24"/>
        </w:rPr>
        <w:t>i</w:t>
      </w:r>
      <w:r>
        <w:rPr>
          <w:rFonts w:ascii="Palatino Linotype" w:hAnsi="Palatino Linotype"/>
          <w:sz w:val="24"/>
          <w:szCs w:val="24"/>
        </w:rPr>
        <w:t>amento:</w:t>
      </w:r>
    </w:p>
    <w:p w:rsidR="000612DC" w:rsidRDefault="000612DC" w:rsidP="0018401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0E654D" w:rsidRPr="000E654D" w:rsidRDefault="000E654D" w:rsidP="000E654D">
      <w:pPr>
        <w:spacing w:after="0" w:line="240" w:lineRule="auto"/>
        <w:ind w:left="2268"/>
        <w:jc w:val="center"/>
        <w:rPr>
          <w:rFonts w:ascii="Palatino Linotype" w:hAnsi="Palatino Linotype"/>
          <w:sz w:val="24"/>
          <w:szCs w:val="24"/>
        </w:rPr>
      </w:pPr>
      <w:r w:rsidRPr="000E654D">
        <w:rPr>
          <w:rFonts w:ascii="Palatino Linotype" w:hAnsi="Palatino Linotype"/>
          <w:sz w:val="24"/>
          <w:szCs w:val="24"/>
        </w:rPr>
        <w:t>SEÇÃO IV</w:t>
      </w:r>
    </w:p>
    <w:p w:rsidR="000E654D" w:rsidRDefault="000E654D" w:rsidP="000E654D">
      <w:pPr>
        <w:spacing w:after="0" w:line="240" w:lineRule="auto"/>
        <w:ind w:left="2268"/>
        <w:jc w:val="center"/>
        <w:rPr>
          <w:rFonts w:ascii="Palatino Linotype" w:hAnsi="Palatino Linotype"/>
          <w:b/>
          <w:sz w:val="24"/>
          <w:szCs w:val="24"/>
        </w:rPr>
      </w:pPr>
      <w:r w:rsidRPr="000E654D">
        <w:rPr>
          <w:rFonts w:ascii="Palatino Linotype" w:hAnsi="Palatino Linotype"/>
          <w:b/>
          <w:sz w:val="24"/>
          <w:szCs w:val="24"/>
        </w:rPr>
        <w:t>Dos Adiamentos</w:t>
      </w:r>
    </w:p>
    <w:p w:rsidR="000E654D" w:rsidRPr="000E654D" w:rsidRDefault="000E654D" w:rsidP="000E654D">
      <w:pPr>
        <w:spacing w:after="0" w:line="240" w:lineRule="auto"/>
        <w:ind w:left="2268"/>
        <w:jc w:val="both"/>
        <w:rPr>
          <w:rFonts w:ascii="Palatino Linotype" w:hAnsi="Palatino Linotype"/>
          <w:sz w:val="24"/>
          <w:szCs w:val="24"/>
        </w:rPr>
      </w:pPr>
      <w:r w:rsidRPr="000E654D">
        <w:rPr>
          <w:rFonts w:ascii="Palatino Linotype" w:hAnsi="Palatino Linotype"/>
          <w:sz w:val="24"/>
          <w:szCs w:val="24"/>
        </w:rPr>
        <w:t>(...)</w:t>
      </w:r>
    </w:p>
    <w:p w:rsidR="000612DC" w:rsidRDefault="000612DC" w:rsidP="000612DC">
      <w:pPr>
        <w:spacing w:after="0" w:line="240" w:lineRule="auto"/>
        <w:ind w:left="2268"/>
        <w:jc w:val="both"/>
        <w:rPr>
          <w:rFonts w:ascii="Palatino Linotype" w:hAnsi="Palatino Linotype"/>
          <w:sz w:val="24"/>
          <w:szCs w:val="24"/>
        </w:rPr>
      </w:pPr>
      <w:r w:rsidRPr="000612DC">
        <w:rPr>
          <w:rFonts w:ascii="Palatino Linotype" w:hAnsi="Palatino Linotype"/>
          <w:sz w:val="24"/>
          <w:szCs w:val="24"/>
        </w:rPr>
        <w:t>Art. 91. Posta a Proposição em votação, esta poderá sofrer uma solicitação de adi</w:t>
      </w:r>
      <w:r w:rsidRPr="000612DC">
        <w:rPr>
          <w:rFonts w:ascii="Palatino Linotype" w:hAnsi="Palatino Linotype"/>
          <w:sz w:val="24"/>
          <w:szCs w:val="24"/>
        </w:rPr>
        <w:t>a</w:t>
      </w:r>
      <w:r w:rsidRPr="000612DC">
        <w:rPr>
          <w:rFonts w:ascii="Palatino Linotype" w:hAnsi="Palatino Linotype"/>
          <w:sz w:val="24"/>
          <w:szCs w:val="24"/>
        </w:rPr>
        <w:t>mento de votação, pelo líder partidário.</w:t>
      </w:r>
    </w:p>
    <w:p w:rsidR="000612DC" w:rsidRPr="000612DC" w:rsidRDefault="000612DC" w:rsidP="000612DC">
      <w:pPr>
        <w:spacing w:after="0" w:line="240" w:lineRule="auto"/>
        <w:ind w:left="2268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(...)</w:t>
      </w:r>
    </w:p>
    <w:p w:rsidR="000612DC" w:rsidRDefault="000612DC" w:rsidP="000612DC">
      <w:pPr>
        <w:spacing w:after="0" w:line="240" w:lineRule="auto"/>
        <w:ind w:left="2268"/>
        <w:jc w:val="both"/>
        <w:rPr>
          <w:rFonts w:ascii="Palatino Linotype" w:hAnsi="Palatino Linotype"/>
          <w:sz w:val="24"/>
          <w:szCs w:val="24"/>
        </w:rPr>
      </w:pPr>
      <w:r w:rsidRPr="000612DC">
        <w:rPr>
          <w:rFonts w:ascii="Palatino Linotype" w:hAnsi="Palatino Linotype"/>
          <w:sz w:val="24"/>
          <w:szCs w:val="24"/>
        </w:rPr>
        <w:lastRenderedPageBreak/>
        <w:t xml:space="preserve">Art. 94. </w:t>
      </w:r>
      <w:r w:rsidRPr="0024404E">
        <w:rPr>
          <w:rFonts w:ascii="Palatino Linotype" w:hAnsi="Palatino Linotype"/>
          <w:b/>
          <w:sz w:val="24"/>
          <w:szCs w:val="24"/>
          <w:u w:val="single"/>
        </w:rPr>
        <w:t>Poderão sofrer emendas, as proposições submetidas a pedido de vistas e adiamento de discussão</w:t>
      </w:r>
      <w:r w:rsidRPr="000612DC">
        <w:rPr>
          <w:rFonts w:ascii="Palatino Linotype" w:hAnsi="Palatino Linotype"/>
          <w:sz w:val="24"/>
          <w:szCs w:val="24"/>
        </w:rPr>
        <w:t>, devendo as me</w:t>
      </w:r>
      <w:r w:rsidRPr="000612DC">
        <w:rPr>
          <w:rFonts w:ascii="Palatino Linotype" w:hAnsi="Palatino Linotype"/>
          <w:sz w:val="24"/>
          <w:szCs w:val="24"/>
        </w:rPr>
        <w:t>s</w:t>
      </w:r>
      <w:r w:rsidRPr="000612DC">
        <w:rPr>
          <w:rFonts w:ascii="Palatino Linotype" w:hAnsi="Palatino Linotype"/>
          <w:sz w:val="24"/>
          <w:szCs w:val="24"/>
        </w:rPr>
        <w:t>mas sofrerem avaliações das comissões competentes.</w:t>
      </w:r>
    </w:p>
    <w:p w:rsidR="000612DC" w:rsidRDefault="000612DC" w:rsidP="0018401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3E1A6A" w:rsidRDefault="003E1A6A" w:rsidP="0018401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Conclui-se, portanto, que o Regimento Interno prevê a proposição de </w:t>
      </w:r>
      <w:r>
        <w:rPr>
          <w:rFonts w:ascii="Palatino Linotype" w:hAnsi="Palatino Linotype"/>
          <w:sz w:val="24"/>
          <w:szCs w:val="24"/>
        </w:rPr>
        <w:t>E</w:t>
      </w:r>
      <w:r>
        <w:rPr>
          <w:rFonts w:ascii="Palatino Linotype" w:hAnsi="Palatino Linotype"/>
          <w:sz w:val="24"/>
          <w:szCs w:val="24"/>
        </w:rPr>
        <w:t xml:space="preserve">mendas às proposições nas hipóteses de adiamento de discussão e </w:t>
      </w:r>
      <w:r w:rsidR="0024404E">
        <w:rPr>
          <w:rFonts w:ascii="Palatino Linotype" w:hAnsi="Palatino Linotype"/>
          <w:sz w:val="24"/>
          <w:szCs w:val="24"/>
        </w:rPr>
        <w:t xml:space="preserve">de </w:t>
      </w:r>
      <w:r>
        <w:rPr>
          <w:rFonts w:ascii="Palatino Linotype" w:hAnsi="Palatino Linotype"/>
          <w:sz w:val="24"/>
          <w:szCs w:val="24"/>
        </w:rPr>
        <w:t>pedido de vi</w:t>
      </w:r>
      <w:r>
        <w:rPr>
          <w:rFonts w:ascii="Palatino Linotype" w:hAnsi="Palatino Linotype"/>
          <w:sz w:val="24"/>
          <w:szCs w:val="24"/>
        </w:rPr>
        <w:t>s</w:t>
      </w:r>
      <w:r>
        <w:rPr>
          <w:rFonts w:ascii="Palatino Linotype" w:hAnsi="Palatino Linotype"/>
          <w:sz w:val="24"/>
          <w:szCs w:val="24"/>
        </w:rPr>
        <w:t>tas, tendo o proponente da Emenda em análise solicitado adiamento de votação da pr</w:t>
      </w:r>
      <w:r>
        <w:rPr>
          <w:rFonts w:ascii="Palatino Linotype" w:hAnsi="Palatino Linotype"/>
          <w:sz w:val="24"/>
          <w:szCs w:val="24"/>
        </w:rPr>
        <w:t>o</w:t>
      </w:r>
      <w:r>
        <w:rPr>
          <w:rFonts w:ascii="Palatino Linotype" w:hAnsi="Palatino Linotype"/>
          <w:sz w:val="24"/>
          <w:szCs w:val="24"/>
        </w:rPr>
        <w:t>posição, o qual não admitiria a possibilidade de Emenda.</w:t>
      </w:r>
    </w:p>
    <w:p w:rsidR="003E1A6A" w:rsidRPr="000612DC" w:rsidRDefault="003E1A6A" w:rsidP="0018401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F85172" w:rsidRPr="000612DC" w:rsidRDefault="00F85172" w:rsidP="00F85172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612DC">
        <w:rPr>
          <w:rFonts w:ascii="Palatino Linotype" w:hAnsi="Palatino Linotype"/>
          <w:b/>
          <w:sz w:val="24"/>
          <w:szCs w:val="24"/>
        </w:rPr>
        <w:t>CONCLUSÃO</w:t>
      </w:r>
    </w:p>
    <w:p w:rsidR="00F85172" w:rsidRPr="000612DC" w:rsidRDefault="00F85172" w:rsidP="00F85172">
      <w:pPr>
        <w:spacing w:after="0" w:line="36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18401E" w:rsidRDefault="0018401E" w:rsidP="0018401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0612DC">
        <w:rPr>
          <w:rFonts w:ascii="Palatino Linotype" w:hAnsi="Palatino Linotype"/>
          <w:sz w:val="24"/>
          <w:szCs w:val="24"/>
        </w:rPr>
        <w:t>Diante dos fundamentos expostos, respeitada a natureza opinativa do p</w:t>
      </w:r>
      <w:r w:rsidRPr="000612DC">
        <w:rPr>
          <w:rFonts w:ascii="Palatino Linotype" w:hAnsi="Palatino Linotype"/>
          <w:sz w:val="24"/>
          <w:szCs w:val="24"/>
        </w:rPr>
        <w:t>a</w:t>
      </w:r>
      <w:r w:rsidRPr="000612DC">
        <w:rPr>
          <w:rFonts w:ascii="Palatino Linotype" w:hAnsi="Palatino Linotype"/>
          <w:sz w:val="24"/>
          <w:szCs w:val="24"/>
        </w:rPr>
        <w:t xml:space="preserve">recer jurídico, a Procuradoria </w:t>
      </w:r>
      <w:r w:rsidRPr="000612DC">
        <w:rPr>
          <w:rFonts w:ascii="Palatino Linotype" w:hAnsi="Palatino Linotype"/>
          <w:b/>
          <w:sz w:val="24"/>
          <w:szCs w:val="24"/>
        </w:rPr>
        <w:t xml:space="preserve">opina </w:t>
      </w:r>
      <w:r w:rsidRPr="000612DC">
        <w:rPr>
          <w:rFonts w:ascii="Palatino Linotype" w:hAnsi="Palatino Linotype"/>
          <w:sz w:val="24"/>
          <w:szCs w:val="24"/>
        </w:rPr>
        <w:t xml:space="preserve">pela constitucionalidade da </w:t>
      </w:r>
      <w:r w:rsidR="003E1A6A">
        <w:rPr>
          <w:rFonts w:ascii="Palatino Linotype" w:hAnsi="Palatino Linotype"/>
          <w:sz w:val="24"/>
          <w:szCs w:val="24"/>
        </w:rPr>
        <w:t>E</w:t>
      </w:r>
      <w:r w:rsidRPr="000612DC">
        <w:rPr>
          <w:rFonts w:ascii="Palatino Linotype" w:hAnsi="Palatino Linotype"/>
          <w:sz w:val="24"/>
          <w:szCs w:val="24"/>
        </w:rPr>
        <w:t xml:space="preserve">menda </w:t>
      </w:r>
      <w:r w:rsidR="003E1A6A">
        <w:rPr>
          <w:rFonts w:ascii="Palatino Linotype" w:hAnsi="Palatino Linotype"/>
          <w:sz w:val="24"/>
          <w:szCs w:val="24"/>
        </w:rPr>
        <w:t xml:space="preserve">ao PLL nº 071/2020, </w:t>
      </w:r>
      <w:r w:rsidRPr="000612DC">
        <w:rPr>
          <w:rFonts w:ascii="Palatino Linotype" w:hAnsi="Palatino Linotype"/>
          <w:sz w:val="24"/>
          <w:szCs w:val="24"/>
        </w:rPr>
        <w:t>apresentada pelo Vereador Juliano Ferreira (PTB), estando apta a ser apr</w:t>
      </w:r>
      <w:r w:rsidRPr="000612DC">
        <w:rPr>
          <w:rFonts w:ascii="Palatino Linotype" w:hAnsi="Palatino Linotype"/>
          <w:sz w:val="24"/>
          <w:szCs w:val="24"/>
        </w:rPr>
        <w:t>e</w:t>
      </w:r>
      <w:r w:rsidRPr="000612DC">
        <w:rPr>
          <w:rFonts w:ascii="Palatino Linotype" w:hAnsi="Palatino Linotype"/>
          <w:sz w:val="24"/>
          <w:szCs w:val="24"/>
        </w:rPr>
        <w:t>ciada pelo Pl</w:t>
      </w:r>
      <w:r w:rsidRPr="000612DC">
        <w:rPr>
          <w:rFonts w:ascii="Palatino Linotype" w:hAnsi="Palatino Linotype"/>
          <w:sz w:val="24"/>
          <w:szCs w:val="24"/>
        </w:rPr>
        <w:t>e</w:t>
      </w:r>
      <w:r w:rsidRPr="000612DC">
        <w:rPr>
          <w:rFonts w:ascii="Palatino Linotype" w:hAnsi="Palatino Linotype"/>
          <w:sz w:val="24"/>
          <w:szCs w:val="24"/>
        </w:rPr>
        <w:t>nário.</w:t>
      </w:r>
    </w:p>
    <w:p w:rsidR="003E1A6A" w:rsidRDefault="003E1A6A" w:rsidP="0018401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3E1A6A" w:rsidRPr="000612DC" w:rsidRDefault="003E1A6A" w:rsidP="0018401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Por outro lado, cabe às Comissões analisar a Emenda do ponto de vista de sua intempestividade, nos termos do art. 94 do Regimento Interno.</w:t>
      </w:r>
    </w:p>
    <w:p w:rsidR="0018401E" w:rsidRPr="000612DC" w:rsidRDefault="0018401E" w:rsidP="0018401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18401E" w:rsidRPr="000612DC" w:rsidRDefault="0018401E" w:rsidP="0018401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  <w:r w:rsidRPr="000612DC">
        <w:rPr>
          <w:rFonts w:ascii="Palatino Linotype" w:hAnsi="Palatino Linotype"/>
          <w:sz w:val="24"/>
          <w:szCs w:val="24"/>
        </w:rPr>
        <w:t>É o parecer.</w:t>
      </w:r>
    </w:p>
    <w:p w:rsidR="0018401E" w:rsidRPr="000612DC" w:rsidRDefault="0018401E" w:rsidP="0018401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p w:rsidR="0018401E" w:rsidRPr="000612DC" w:rsidRDefault="0018401E" w:rsidP="0018401E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  <w:r w:rsidRPr="000612DC">
        <w:rPr>
          <w:rFonts w:ascii="Palatino Linotype" w:hAnsi="Palatino Linotype"/>
          <w:sz w:val="24"/>
          <w:szCs w:val="24"/>
        </w:rPr>
        <w:t xml:space="preserve">Guaíba, </w:t>
      </w:r>
      <w:r w:rsidR="003E1A6A">
        <w:rPr>
          <w:rFonts w:ascii="Palatino Linotype" w:hAnsi="Palatino Linotype"/>
          <w:sz w:val="24"/>
          <w:szCs w:val="24"/>
        </w:rPr>
        <w:t>15</w:t>
      </w:r>
      <w:r w:rsidRPr="000612DC">
        <w:rPr>
          <w:rFonts w:ascii="Palatino Linotype" w:hAnsi="Palatino Linotype"/>
          <w:sz w:val="24"/>
          <w:szCs w:val="24"/>
        </w:rPr>
        <w:t xml:space="preserve"> de outubro de 202</w:t>
      </w:r>
      <w:r w:rsidR="003E1A6A">
        <w:rPr>
          <w:rFonts w:ascii="Palatino Linotype" w:hAnsi="Palatino Linotype"/>
          <w:sz w:val="24"/>
          <w:szCs w:val="24"/>
        </w:rPr>
        <w:t>1</w:t>
      </w:r>
      <w:r w:rsidRPr="000612DC">
        <w:rPr>
          <w:rFonts w:ascii="Palatino Linotype" w:hAnsi="Palatino Linotype"/>
          <w:sz w:val="24"/>
          <w:szCs w:val="24"/>
        </w:rPr>
        <w:t>.</w:t>
      </w:r>
    </w:p>
    <w:p w:rsidR="0018401E" w:rsidRPr="000612DC" w:rsidRDefault="0018401E" w:rsidP="0018401E">
      <w:pPr>
        <w:spacing w:after="0" w:line="360" w:lineRule="auto"/>
        <w:jc w:val="center"/>
        <w:rPr>
          <w:rFonts w:ascii="Palatino Linotype" w:hAnsi="Palatino Linotype"/>
          <w:sz w:val="24"/>
          <w:szCs w:val="24"/>
        </w:rPr>
      </w:pPr>
    </w:p>
    <w:p w:rsidR="0018401E" w:rsidRPr="000612DC" w:rsidRDefault="0018401E" w:rsidP="0018401E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612DC">
        <w:rPr>
          <w:rFonts w:ascii="Palatino Linotype" w:hAnsi="Palatino Linotype"/>
          <w:b/>
          <w:sz w:val="24"/>
          <w:szCs w:val="24"/>
        </w:rPr>
        <w:t>FERNANDO HENRIQUE ESCOBAR BINS</w:t>
      </w:r>
    </w:p>
    <w:p w:rsidR="0018401E" w:rsidRPr="000612DC" w:rsidRDefault="0018401E" w:rsidP="0018401E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0612DC">
        <w:rPr>
          <w:rFonts w:ascii="Palatino Linotype" w:hAnsi="Palatino Linotype"/>
          <w:sz w:val="24"/>
          <w:szCs w:val="24"/>
        </w:rPr>
        <w:t>Procurador-Geral</w:t>
      </w:r>
    </w:p>
    <w:p w:rsidR="0018401E" w:rsidRPr="000612DC" w:rsidRDefault="0018401E" w:rsidP="0018401E">
      <w:pPr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0612DC">
        <w:rPr>
          <w:rFonts w:ascii="Palatino Linotype" w:hAnsi="Palatino Linotype"/>
          <w:sz w:val="24"/>
          <w:szCs w:val="24"/>
        </w:rPr>
        <w:t>OAB/RS 107.136</w:t>
      </w:r>
    </w:p>
    <w:p w:rsidR="005D581E" w:rsidRPr="000612DC" w:rsidRDefault="005D581E" w:rsidP="0018401E">
      <w:pPr>
        <w:spacing w:after="0" w:line="360" w:lineRule="auto"/>
        <w:ind w:firstLine="1134"/>
        <w:jc w:val="both"/>
        <w:rPr>
          <w:rFonts w:ascii="Palatino Linotype" w:hAnsi="Palatino Linotype"/>
          <w:sz w:val="24"/>
          <w:szCs w:val="24"/>
        </w:rPr>
      </w:pPr>
    </w:p>
    <w:sectPr w:rsidR="005D581E" w:rsidRPr="000612DC" w:rsidSect="00C5638B">
      <w:headerReference w:type="default" r:id="rId8"/>
      <w:footerReference w:type="default" r:id="rId9"/>
      <w:pgSz w:w="11906" w:h="16838"/>
      <w:pgMar w:top="2127" w:right="1134" w:bottom="1134" w:left="1701" w:header="567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240D" w:rsidRDefault="007C240D" w:rsidP="00B365A3">
      <w:pPr>
        <w:spacing w:after="0" w:line="240" w:lineRule="auto"/>
      </w:pPr>
      <w:r>
        <w:separator/>
      </w:r>
    </w:p>
  </w:endnote>
  <w:endnote w:type="continuationSeparator" w:id="1">
    <w:p w:rsidR="007C240D" w:rsidRDefault="007C240D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7308954"/>
      <w:docPartObj>
        <w:docPartGallery w:val="Page Numbers (Bottom of Page)"/>
        <w:docPartUnique/>
      </w:docPartObj>
    </w:sdtPr>
    <w:sdtContent>
      <w:p w:rsidR="0018401E" w:rsidRDefault="00D43565">
        <w:pPr>
          <w:pStyle w:val="Rodap"/>
          <w:jc w:val="right"/>
        </w:pPr>
        <w:fldSimple w:instr=" PAGE   \* MERGEFORMAT ">
          <w:r w:rsidR="00C5638B">
            <w:rPr>
              <w:noProof/>
            </w:rPr>
            <w:t>1</w:t>
          </w:r>
        </w:fldSimple>
      </w:p>
    </w:sdtContent>
  </w:sdt>
  <w:p w:rsidR="0018401E" w:rsidRDefault="0018401E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240D" w:rsidRDefault="007C240D" w:rsidP="00B365A3">
      <w:pPr>
        <w:spacing w:after="0" w:line="240" w:lineRule="auto"/>
      </w:pPr>
      <w:r>
        <w:separator/>
      </w:r>
    </w:p>
  </w:footnote>
  <w:footnote w:type="continuationSeparator" w:id="1">
    <w:p w:rsidR="007C240D" w:rsidRDefault="007C240D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12DC" w:rsidRDefault="000612DC" w:rsidP="000612DC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2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612DC" w:rsidRPr="00C5638B" w:rsidRDefault="000612DC" w:rsidP="000612DC">
    <w:pPr>
      <w:pStyle w:val="Cabealho"/>
      <w:pBdr>
        <w:bottom w:val="single" w:sz="4" w:space="1" w:color="auto"/>
      </w:pBdr>
      <w:jc w:val="center"/>
      <w:rPr>
        <w:rFonts w:ascii="Palatino Linotype" w:hAnsi="Palatino Linotype"/>
        <w:b/>
        <w:sz w:val="25"/>
        <w:szCs w:val="25"/>
      </w:rPr>
    </w:pPr>
    <w:r w:rsidRPr="00C5638B">
      <w:rPr>
        <w:rFonts w:ascii="Palatino Linotype" w:hAnsi="Palatino Linotype"/>
        <w:b/>
        <w:sz w:val="25"/>
        <w:szCs w:val="25"/>
      </w:rPr>
      <w:t>PROCURADORIA JURÍDICA</w:t>
    </w:r>
  </w:p>
  <w:p w:rsidR="000612DC" w:rsidRDefault="000612DC" w:rsidP="000612DC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multilevel"/>
    <w:tmpl w:val="DA2A183E"/>
    <w:lvl w:ilvl="0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1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1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7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7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34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/>
  <w:rsids>
    <w:rsidRoot w:val="00B365A3"/>
    <w:rsid w:val="00032713"/>
    <w:rsid w:val="00036BC1"/>
    <w:rsid w:val="000612DC"/>
    <w:rsid w:val="000714D3"/>
    <w:rsid w:val="00086FAA"/>
    <w:rsid w:val="000A5D66"/>
    <w:rsid w:val="000B2228"/>
    <w:rsid w:val="000E654D"/>
    <w:rsid w:val="00104EAA"/>
    <w:rsid w:val="00110DB4"/>
    <w:rsid w:val="001144C0"/>
    <w:rsid w:val="0011662A"/>
    <w:rsid w:val="00123528"/>
    <w:rsid w:val="00170191"/>
    <w:rsid w:val="0018401E"/>
    <w:rsid w:val="001A7FEB"/>
    <w:rsid w:val="001D6D9F"/>
    <w:rsid w:val="001F5FE9"/>
    <w:rsid w:val="001F6BDB"/>
    <w:rsid w:val="00206928"/>
    <w:rsid w:val="00240C04"/>
    <w:rsid w:val="0024404E"/>
    <w:rsid w:val="002577E1"/>
    <w:rsid w:val="002B3718"/>
    <w:rsid w:val="00347C20"/>
    <w:rsid w:val="003617F4"/>
    <w:rsid w:val="0038100B"/>
    <w:rsid w:val="00382108"/>
    <w:rsid w:val="003D629C"/>
    <w:rsid w:val="003D6F1B"/>
    <w:rsid w:val="003E0914"/>
    <w:rsid w:val="003E1A6A"/>
    <w:rsid w:val="003F7AC0"/>
    <w:rsid w:val="0041616C"/>
    <w:rsid w:val="004303E8"/>
    <w:rsid w:val="004332D0"/>
    <w:rsid w:val="0045142B"/>
    <w:rsid w:val="004725D2"/>
    <w:rsid w:val="0047655F"/>
    <w:rsid w:val="004C535F"/>
    <w:rsid w:val="0050605A"/>
    <w:rsid w:val="00547BC4"/>
    <w:rsid w:val="005707B6"/>
    <w:rsid w:val="00576E92"/>
    <w:rsid w:val="005C7B8C"/>
    <w:rsid w:val="005D581E"/>
    <w:rsid w:val="005E1E23"/>
    <w:rsid w:val="005E52AF"/>
    <w:rsid w:val="005F4889"/>
    <w:rsid w:val="006253C5"/>
    <w:rsid w:val="0067605E"/>
    <w:rsid w:val="00684737"/>
    <w:rsid w:val="00691044"/>
    <w:rsid w:val="006B477E"/>
    <w:rsid w:val="007037C8"/>
    <w:rsid w:val="00705022"/>
    <w:rsid w:val="00725DFE"/>
    <w:rsid w:val="007854E6"/>
    <w:rsid w:val="007B149E"/>
    <w:rsid w:val="007C240D"/>
    <w:rsid w:val="007C444A"/>
    <w:rsid w:val="007E55B7"/>
    <w:rsid w:val="007F2AC1"/>
    <w:rsid w:val="00811016"/>
    <w:rsid w:val="008138B2"/>
    <w:rsid w:val="008165C9"/>
    <w:rsid w:val="00820BFB"/>
    <w:rsid w:val="0083448B"/>
    <w:rsid w:val="00837746"/>
    <w:rsid w:val="008426D4"/>
    <w:rsid w:val="00847C81"/>
    <w:rsid w:val="00864D77"/>
    <w:rsid w:val="008820D9"/>
    <w:rsid w:val="0089327C"/>
    <w:rsid w:val="0089606D"/>
    <w:rsid w:val="008A02A8"/>
    <w:rsid w:val="008A79E4"/>
    <w:rsid w:val="00905B60"/>
    <w:rsid w:val="009075FE"/>
    <w:rsid w:val="00933451"/>
    <w:rsid w:val="00953A32"/>
    <w:rsid w:val="00955334"/>
    <w:rsid w:val="00965DF3"/>
    <w:rsid w:val="009677B1"/>
    <w:rsid w:val="009762CB"/>
    <w:rsid w:val="009A1232"/>
    <w:rsid w:val="009B7D3B"/>
    <w:rsid w:val="009E03A3"/>
    <w:rsid w:val="00A169C6"/>
    <w:rsid w:val="00A55951"/>
    <w:rsid w:val="00A77DF1"/>
    <w:rsid w:val="00A808BC"/>
    <w:rsid w:val="00A91A8F"/>
    <w:rsid w:val="00AF1292"/>
    <w:rsid w:val="00AF6E8B"/>
    <w:rsid w:val="00B31D5E"/>
    <w:rsid w:val="00B365A3"/>
    <w:rsid w:val="00B711FB"/>
    <w:rsid w:val="00BE61A5"/>
    <w:rsid w:val="00C04159"/>
    <w:rsid w:val="00C12338"/>
    <w:rsid w:val="00C43581"/>
    <w:rsid w:val="00C5638B"/>
    <w:rsid w:val="00C7445E"/>
    <w:rsid w:val="00C9671D"/>
    <w:rsid w:val="00D40780"/>
    <w:rsid w:val="00D43565"/>
    <w:rsid w:val="00D76F03"/>
    <w:rsid w:val="00D90096"/>
    <w:rsid w:val="00D90712"/>
    <w:rsid w:val="00DA7A73"/>
    <w:rsid w:val="00DB7EC6"/>
    <w:rsid w:val="00DC0FFE"/>
    <w:rsid w:val="00DE6476"/>
    <w:rsid w:val="00E003C1"/>
    <w:rsid w:val="00E16037"/>
    <w:rsid w:val="00E37A5C"/>
    <w:rsid w:val="00E501C1"/>
    <w:rsid w:val="00E5368A"/>
    <w:rsid w:val="00E761DF"/>
    <w:rsid w:val="00E772D1"/>
    <w:rsid w:val="00EB0C30"/>
    <w:rsid w:val="00F00312"/>
    <w:rsid w:val="00F05045"/>
    <w:rsid w:val="00F1710C"/>
    <w:rsid w:val="00F25243"/>
    <w:rsid w:val="00F6334E"/>
    <w:rsid w:val="00F6465F"/>
    <w:rsid w:val="00F74918"/>
    <w:rsid w:val="00F80E93"/>
    <w:rsid w:val="00F85172"/>
    <w:rsid w:val="00F85D62"/>
    <w:rsid w:val="00F94625"/>
    <w:rsid w:val="00FB63E7"/>
    <w:rsid w:val="00FD4442"/>
    <w:rsid w:val="00FE7E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customStyle="1" w:styleId="Default">
    <w:name w:val="Default"/>
    <w:rsid w:val="000E65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FC6885-1D1F-4B0F-98EB-1BE1D9BA6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4</Pages>
  <Words>931</Words>
  <Characters>5028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Procuradoria</cp:lastModifiedBy>
  <cp:revision>7</cp:revision>
  <cp:lastPrinted>2020-10-06T15:43:00Z</cp:lastPrinted>
  <dcterms:created xsi:type="dcterms:W3CDTF">2021-10-15T12:51:00Z</dcterms:created>
  <dcterms:modified xsi:type="dcterms:W3CDTF">2021-10-15T13:16:00Z</dcterms:modified>
</cp:coreProperties>
</file>