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A3" w:rsidRPr="007839C1" w:rsidRDefault="008138B2" w:rsidP="0086209F">
      <w:pPr>
        <w:pBdr>
          <w:top w:val="single" w:sz="4" w:space="1" w:color="auto"/>
          <w:left w:val="single" w:sz="4" w:space="4" w:color="auto"/>
          <w:bottom w:val="single" w:sz="4" w:space="1" w:color="auto"/>
          <w:right w:val="single" w:sz="4" w:space="4" w:color="auto"/>
        </w:pBdr>
        <w:spacing w:after="0" w:line="360" w:lineRule="auto"/>
        <w:jc w:val="center"/>
        <w:rPr>
          <w:b/>
          <w:sz w:val="24"/>
          <w:szCs w:val="24"/>
        </w:rPr>
      </w:pPr>
      <w:r w:rsidRPr="007839C1">
        <w:rPr>
          <w:b/>
          <w:sz w:val="24"/>
          <w:szCs w:val="24"/>
        </w:rPr>
        <w:t>PARECER JURÍDICO</w:t>
      </w:r>
      <w:r w:rsidR="009735FD">
        <w:rPr>
          <w:b/>
          <w:sz w:val="24"/>
          <w:szCs w:val="24"/>
        </w:rPr>
        <w:t xml:space="preserve"> Nº 295</w:t>
      </w:r>
      <w:r w:rsidR="0086209F" w:rsidRPr="007839C1">
        <w:rPr>
          <w:b/>
          <w:sz w:val="24"/>
          <w:szCs w:val="24"/>
        </w:rPr>
        <w:t>/2021</w:t>
      </w:r>
    </w:p>
    <w:p w:rsidR="00653047" w:rsidRPr="007839C1" w:rsidRDefault="00653047" w:rsidP="008138B2">
      <w:pPr>
        <w:spacing w:after="0" w:line="360" w:lineRule="auto"/>
        <w:jc w:val="center"/>
        <w:rPr>
          <w:b/>
          <w:sz w:val="24"/>
          <w:szCs w:val="24"/>
        </w:rPr>
      </w:pPr>
    </w:p>
    <w:p w:rsidR="008138B2" w:rsidRPr="007839C1" w:rsidRDefault="00F85172" w:rsidP="008138B2">
      <w:pPr>
        <w:pStyle w:val="PargrafodaLista"/>
        <w:numPr>
          <w:ilvl w:val="0"/>
          <w:numId w:val="1"/>
        </w:numPr>
        <w:spacing w:after="0" w:line="360" w:lineRule="auto"/>
        <w:jc w:val="both"/>
        <w:rPr>
          <w:b/>
          <w:sz w:val="24"/>
          <w:szCs w:val="24"/>
        </w:rPr>
      </w:pPr>
      <w:r w:rsidRPr="007839C1">
        <w:rPr>
          <w:b/>
          <w:sz w:val="24"/>
          <w:szCs w:val="24"/>
        </w:rPr>
        <w:t>RELATÓRIO</w:t>
      </w:r>
    </w:p>
    <w:p w:rsidR="008138B2" w:rsidRPr="007839C1" w:rsidRDefault="008138B2" w:rsidP="008138B2">
      <w:pPr>
        <w:spacing w:after="0" w:line="360" w:lineRule="auto"/>
        <w:jc w:val="both"/>
        <w:rPr>
          <w:b/>
          <w:sz w:val="24"/>
          <w:szCs w:val="24"/>
        </w:rPr>
      </w:pPr>
    </w:p>
    <w:p w:rsidR="008138B2" w:rsidRDefault="0022243F" w:rsidP="007A32E8">
      <w:pPr>
        <w:spacing w:after="0" w:line="360" w:lineRule="auto"/>
        <w:ind w:firstLine="1134"/>
        <w:jc w:val="both"/>
        <w:rPr>
          <w:sz w:val="24"/>
          <w:szCs w:val="24"/>
        </w:rPr>
      </w:pPr>
      <w:r w:rsidRPr="007839C1">
        <w:rPr>
          <w:sz w:val="24"/>
          <w:szCs w:val="24"/>
        </w:rPr>
        <w:t>O Vereador</w:t>
      </w:r>
      <w:r w:rsidR="001E7294">
        <w:rPr>
          <w:sz w:val="24"/>
          <w:szCs w:val="24"/>
        </w:rPr>
        <w:t xml:space="preserve"> Manoel Eletricista</w:t>
      </w:r>
      <w:r w:rsidRPr="007839C1">
        <w:rPr>
          <w:sz w:val="24"/>
          <w:szCs w:val="24"/>
        </w:rPr>
        <w:t xml:space="preserve"> </w:t>
      </w:r>
      <w:r w:rsidR="00F87BF5" w:rsidRPr="007839C1">
        <w:rPr>
          <w:sz w:val="24"/>
          <w:szCs w:val="24"/>
        </w:rPr>
        <w:t>apresent</w:t>
      </w:r>
      <w:r w:rsidR="00653047" w:rsidRPr="007839C1">
        <w:rPr>
          <w:sz w:val="24"/>
          <w:szCs w:val="24"/>
        </w:rPr>
        <w:t>ou</w:t>
      </w:r>
      <w:r w:rsidR="00F87BF5" w:rsidRPr="007839C1">
        <w:rPr>
          <w:sz w:val="24"/>
          <w:szCs w:val="24"/>
        </w:rPr>
        <w:t xml:space="preserve"> </w:t>
      </w:r>
      <w:r w:rsidR="009E03A3" w:rsidRPr="007839C1">
        <w:rPr>
          <w:sz w:val="24"/>
          <w:szCs w:val="24"/>
        </w:rPr>
        <w:t>o Projeto de</w:t>
      </w:r>
      <w:r w:rsidR="007A32E8" w:rsidRPr="007839C1">
        <w:rPr>
          <w:sz w:val="24"/>
          <w:szCs w:val="24"/>
        </w:rPr>
        <w:t xml:space="preserve"> Resolução nº </w:t>
      </w:r>
      <w:r w:rsidR="009735FD">
        <w:rPr>
          <w:sz w:val="24"/>
          <w:szCs w:val="24"/>
        </w:rPr>
        <w:t>015</w:t>
      </w:r>
      <w:r w:rsidR="0086209F" w:rsidRPr="007839C1">
        <w:rPr>
          <w:sz w:val="24"/>
          <w:szCs w:val="24"/>
        </w:rPr>
        <w:t>/2021</w:t>
      </w:r>
      <w:r w:rsidR="008138B2" w:rsidRPr="007839C1">
        <w:rPr>
          <w:sz w:val="24"/>
          <w:szCs w:val="24"/>
        </w:rPr>
        <w:t>,</w:t>
      </w:r>
      <w:r w:rsidR="009E03A3" w:rsidRPr="007839C1">
        <w:rPr>
          <w:sz w:val="24"/>
          <w:szCs w:val="24"/>
        </w:rPr>
        <w:t xml:space="preserve"> </w:t>
      </w:r>
      <w:r w:rsidR="00E06C84" w:rsidRPr="007839C1">
        <w:rPr>
          <w:sz w:val="24"/>
          <w:szCs w:val="24"/>
        </w:rPr>
        <w:t>objetivando</w:t>
      </w:r>
      <w:r w:rsidR="009735FD">
        <w:rPr>
          <w:sz w:val="24"/>
          <w:szCs w:val="24"/>
        </w:rPr>
        <w:t xml:space="preserve"> alterar a redação do inciso I do art. 61</w:t>
      </w:r>
      <w:r w:rsidR="001E7294">
        <w:rPr>
          <w:sz w:val="24"/>
          <w:szCs w:val="24"/>
        </w:rPr>
        <w:t xml:space="preserve"> da </w:t>
      </w:r>
      <w:r w:rsidR="00C918AF">
        <w:rPr>
          <w:sz w:val="24"/>
          <w:szCs w:val="24"/>
        </w:rPr>
        <w:t>Resolução nº 016/1995 (Regimento Interno).</w:t>
      </w:r>
      <w:r w:rsidR="007A32E8" w:rsidRPr="007839C1">
        <w:rPr>
          <w:sz w:val="24"/>
          <w:szCs w:val="24"/>
        </w:rPr>
        <w:t xml:space="preserve"> A proposta foi encaminhada à Procuradoria pela Presidência</w:t>
      </w:r>
      <w:r w:rsidR="000B20A4">
        <w:rPr>
          <w:sz w:val="24"/>
          <w:szCs w:val="24"/>
        </w:rPr>
        <w:t xml:space="preserve"> da Câmara</w:t>
      </w:r>
      <w:r w:rsidR="007A32E8" w:rsidRPr="007839C1">
        <w:rPr>
          <w:sz w:val="24"/>
          <w:szCs w:val="24"/>
        </w:rPr>
        <w:t xml:space="preserve"> para anál</w:t>
      </w:r>
      <w:r w:rsidR="007A32E8" w:rsidRPr="007839C1">
        <w:rPr>
          <w:sz w:val="24"/>
          <w:szCs w:val="24"/>
        </w:rPr>
        <w:t>i</w:t>
      </w:r>
      <w:r w:rsidR="007A32E8" w:rsidRPr="007839C1">
        <w:rPr>
          <w:sz w:val="24"/>
          <w:szCs w:val="24"/>
        </w:rPr>
        <w:t>se nos termos do artigo 105 do Regimento Interno.</w:t>
      </w:r>
    </w:p>
    <w:p w:rsidR="000B20A4" w:rsidRDefault="000B20A4" w:rsidP="007A32E8">
      <w:pPr>
        <w:spacing w:after="0" w:line="360" w:lineRule="auto"/>
        <w:ind w:firstLine="1134"/>
        <w:jc w:val="both"/>
        <w:rPr>
          <w:sz w:val="24"/>
          <w:szCs w:val="24"/>
        </w:rPr>
      </w:pPr>
    </w:p>
    <w:p w:rsidR="000B20A4" w:rsidRDefault="000B20A4" w:rsidP="000B20A4">
      <w:pPr>
        <w:pStyle w:val="PargrafodaLista"/>
        <w:numPr>
          <w:ilvl w:val="0"/>
          <w:numId w:val="1"/>
        </w:numPr>
        <w:spacing w:after="0" w:line="360" w:lineRule="auto"/>
        <w:jc w:val="both"/>
        <w:rPr>
          <w:rFonts w:cs="Times New Roman"/>
          <w:b/>
          <w:sz w:val="24"/>
          <w:szCs w:val="24"/>
        </w:rPr>
      </w:pPr>
      <w:r>
        <w:rPr>
          <w:rFonts w:cs="Times New Roman"/>
          <w:b/>
          <w:sz w:val="24"/>
          <w:szCs w:val="24"/>
        </w:rPr>
        <w:t>FUNÇÕES DA PROCURADORIA JURÍDICA</w:t>
      </w:r>
    </w:p>
    <w:p w:rsidR="000B20A4" w:rsidRDefault="000B20A4" w:rsidP="000B20A4">
      <w:pPr>
        <w:spacing w:after="0" w:line="360" w:lineRule="auto"/>
        <w:jc w:val="both"/>
        <w:rPr>
          <w:rFonts w:cs="Times New Roman"/>
          <w:b/>
          <w:sz w:val="24"/>
          <w:szCs w:val="24"/>
        </w:rPr>
      </w:pPr>
    </w:p>
    <w:p w:rsidR="000B20A4" w:rsidRDefault="000B20A4" w:rsidP="000B20A4">
      <w:pPr>
        <w:spacing w:after="0" w:line="360" w:lineRule="auto"/>
        <w:ind w:firstLine="1134"/>
        <w:jc w:val="both"/>
        <w:rPr>
          <w:rFonts w:cs="Times New Roman"/>
          <w:sz w:val="24"/>
          <w:szCs w:val="24"/>
        </w:rPr>
      </w:pPr>
      <w:r>
        <w:rPr>
          <w:rFonts w:cs="Times New Roman"/>
          <w:sz w:val="24"/>
          <w:szCs w:val="24"/>
        </w:rPr>
        <w:t>A Procuradoria Jurídica da Câmara de Guaíba, órgão consultivo com previsão no art. 3º da Lei Municipal nº 3.687/18, exerce as funções de assessoramento jurídico e de or</w:t>
      </w:r>
      <w:r>
        <w:rPr>
          <w:rFonts w:cs="Times New Roman"/>
          <w:sz w:val="24"/>
          <w:szCs w:val="24"/>
        </w:rPr>
        <w:t>i</w:t>
      </w:r>
      <w:r>
        <w:rPr>
          <w:rFonts w:cs="Times New Roman"/>
          <w:sz w:val="24"/>
          <w:szCs w:val="24"/>
        </w:rPr>
        <w:t>entação da Mesa Diretora, da Presidência da Casa e dos setores legislativos, através da emi</w:t>
      </w:r>
      <w:r>
        <w:rPr>
          <w:rFonts w:cs="Times New Roman"/>
          <w:sz w:val="24"/>
          <w:szCs w:val="24"/>
        </w:rPr>
        <w:t>s</w:t>
      </w:r>
      <w:r>
        <w:rPr>
          <w:rFonts w:cs="Times New Roman"/>
          <w:sz w:val="24"/>
          <w:szCs w:val="24"/>
        </w:rPr>
        <w:t>são de pareceres escritos e verbais, bem como de opiniões fundamentadas objetivando a tomada de decisões, por meio de reuniões, de manifestações escritas e de aconselhame</w:t>
      </w:r>
      <w:r>
        <w:rPr>
          <w:rFonts w:cs="Times New Roman"/>
          <w:sz w:val="24"/>
          <w:szCs w:val="24"/>
        </w:rPr>
        <w:t>n</w:t>
      </w:r>
      <w:r>
        <w:rPr>
          <w:rFonts w:cs="Times New Roman"/>
          <w:sz w:val="24"/>
          <w:szCs w:val="24"/>
        </w:rPr>
        <w:t>tos. Trata-se de órgão público que, embora não detenha competência decisória, orienta jur</w:t>
      </w:r>
      <w:r>
        <w:rPr>
          <w:rFonts w:cs="Times New Roman"/>
          <w:sz w:val="24"/>
          <w:szCs w:val="24"/>
        </w:rPr>
        <w:t>i</w:t>
      </w:r>
      <w:r>
        <w:rPr>
          <w:rFonts w:cs="Times New Roman"/>
          <w:sz w:val="24"/>
          <w:szCs w:val="24"/>
        </w:rPr>
        <w:t>dicamente o gestor público e os setores legislativos, sem caráter vinculante.</w:t>
      </w:r>
    </w:p>
    <w:p w:rsidR="000B20A4" w:rsidRDefault="000B20A4" w:rsidP="000B20A4">
      <w:pPr>
        <w:spacing w:after="0" w:line="360" w:lineRule="auto"/>
        <w:ind w:firstLine="1134"/>
        <w:jc w:val="both"/>
        <w:rPr>
          <w:rFonts w:cs="Times New Roman"/>
          <w:sz w:val="24"/>
          <w:szCs w:val="24"/>
        </w:rPr>
      </w:pPr>
    </w:p>
    <w:p w:rsidR="000B20A4" w:rsidRDefault="000B20A4" w:rsidP="000B20A4">
      <w:pPr>
        <w:spacing w:after="0" w:line="360" w:lineRule="auto"/>
        <w:ind w:firstLine="1134"/>
        <w:jc w:val="both"/>
        <w:rPr>
          <w:sz w:val="24"/>
          <w:szCs w:val="24"/>
        </w:rPr>
      </w:pPr>
      <w:r>
        <w:rPr>
          <w:sz w:val="24"/>
          <w:szCs w:val="24"/>
        </w:rPr>
        <w:t>Os pareceres jurídicos são atos resultantes do exercício da função consultiva de</w:t>
      </w:r>
      <w:r>
        <w:rPr>
          <w:sz w:val="24"/>
          <w:szCs w:val="24"/>
        </w:rPr>
        <w:t>s</w:t>
      </w:r>
      <w:r>
        <w:rPr>
          <w:sz w:val="24"/>
          <w:szCs w:val="24"/>
        </w:rPr>
        <w:t>ta Procuradoria Jurídica, no sentido de alertar para eventuais inconformidades que possam estar presentes. Conforme leciona Hely Lopes Meirelles</w:t>
      </w:r>
      <w:r w:rsidRPr="00584F61">
        <w:rPr>
          <w:sz w:val="24"/>
          <w:szCs w:val="24"/>
        </w:rPr>
        <w:t xml:space="preserve"> </w:t>
      </w:r>
      <w:r>
        <w:rPr>
          <w:sz w:val="24"/>
          <w:szCs w:val="24"/>
        </w:rPr>
        <w:t>na obra Direito Administrativo Bras</w:t>
      </w:r>
      <w:r>
        <w:rPr>
          <w:sz w:val="24"/>
          <w:szCs w:val="24"/>
        </w:rPr>
        <w:t>i</w:t>
      </w:r>
      <w:r>
        <w:rPr>
          <w:sz w:val="24"/>
          <w:szCs w:val="24"/>
        </w:rPr>
        <w:t>leiro, 41ª ed., Malheiros Editores: São Paulo, 2015, p. 204, “O parecer tem caráter merame</w:t>
      </w:r>
      <w:r>
        <w:rPr>
          <w:sz w:val="24"/>
          <w:szCs w:val="24"/>
        </w:rPr>
        <w:t>n</w:t>
      </w:r>
      <w:r>
        <w:rPr>
          <w:sz w:val="24"/>
          <w:szCs w:val="24"/>
        </w:rPr>
        <w:t>te opinativo, não vinculando a Administração ou os particulares à sua motivação ou concl</w:t>
      </w:r>
      <w:r>
        <w:rPr>
          <w:sz w:val="24"/>
          <w:szCs w:val="24"/>
        </w:rPr>
        <w:t>u</w:t>
      </w:r>
      <w:r>
        <w:rPr>
          <w:sz w:val="24"/>
          <w:szCs w:val="24"/>
        </w:rPr>
        <w:t>sões, salvo se aprovado por ato subsequente. Já, então, o que subsiste como ato administr</w:t>
      </w:r>
      <w:r>
        <w:rPr>
          <w:sz w:val="24"/>
          <w:szCs w:val="24"/>
        </w:rPr>
        <w:t>a</w:t>
      </w:r>
      <w:r>
        <w:rPr>
          <w:sz w:val="24"/>
          <w:szCs w:val="24"/>
        </w:rPr>
        <w:t>tivo não é o parecer, mas, sim, o ato de sua aprovação, que poderá revestir a modalidade normativa, ordinatória, negocial ou punitiva.”</w:t>
      </w:r>
    </w:p>
    <w:p w:rsidR="000B20A4" w:rsidRDefault="000B20A4" w:rsidP="000B20A4">
      <w:pPr>
        <w:spacing w:after="0" w:line="360" w:lineRule="auto"/>
        <w:ind w:firstLine="1134"/>
        <w:jc w:val="both"/>
        <w:rPr>
          <w:sz w:val="24"/>
          <w:szCs w:val="24"/>
        </w:rPr>
      </w:pPr>
    </w:p>
    <w:p w:rsidR="000B20A4" w:rsidRPr="00BF24E2" w:rsidRDefault="000B20A4" w:rsidP="000B20A4">
      <w:pPr>
        <w:spacing w:after="0" w:line="360" w:lineRule="auto"/>
        <w:ind w:firstLine="1134"/>
        <w:jc w:val="both"/>
        <w:rPr>
          <w:rFonts w:cs="Times New Roman"/>
          <w:b/>
          <w:sz w:val="24"/>
          <w:szCs w:val="24"/>
        </w:rPr>
      </w:pPr>
      <w:r>
        <w:rPr>
          <w:sz w:val="24"/>
          <w:szCs w:val="24"/>
        </w:rPr>
        <w:t xml:space="preserve">Desse modo, a função consultiva desempenhada por esta Procuradoria com base no art. 3º da Lei Municipal nº 3.687/18 – que dispõe sobre a organização administrativa da Câmara Municipal de Guaíba – </w:t>
      </w:r>
      <w:r w:rsidRPr="00BF24E2">
        <w:rPr>
          <w:b/>
          <w:sz w:val="24"/>
          <w:szCs w:val="24"/>
        </w:rPr>
        <w:t>não é vinculante</w:t>
      </w:r>
      <w:r>
        <w:rPr>
          <w:sz w:val="24"/>
          <w:szCs w:val="24"/>
        </w:rPr>
        <w:t xml:space="preserve">, motivo pelo qual é possível, se for o caso, </w:t>
      </w:r>
      <w:r>
        <w:rPr>
          <w:sz w:val="24"/>
          <w:szCs w:val="24"/>
        </w:rPr>
        <w:lastRenderedPageBreak/>
        <w:t>que os agentes políticos formem suas próprias convicções em discordância com as opiniões manifestadas por meio do parecer jurídico.</w:t>
      </w:r>
    </w:p>
    <w:p w:rsidR="00B56946" w:rsidRPr="007839C1" w:rsidRDefault="00B56946" w:rsidP="008138B2">
      <w:pPr>
        <w:spacing w:after="0" w:line="360" w:lineRule="auto"/>
        <w:ind w:firstLine="1134"/>
        <w:jc w:val="both"/>
        <w:rPr>
          <w:sz w:val="24"/>
          <w:szCs w:val="24"/>
        </w:rPr>
      </w:pPr>
    </w:p>
    <w:p w:rsidR="008138B2" w:rsidRPr="007839C1" w:rsidRDefault="00FC2476" w:rsidP="008138B2">
      <w:pPr>
        <w:pStyle w:val="PargrafodaLista"/>
        <w:numPr>
          <w:ilvl w:val="0"/>
          <w:numId w:val="1"/>
        </w:numPr>
        <w:spacing w:after="0" w:line="360" w:lineRule="auto"/>
        <w:jc w:val="both"/>
        <w:rPr>
          <w:b/>
          <w:sz w:val="24"/>
          <w:szCs w:val="24"/>
        </w:rPr>
      </w:pPr>
      <w:r w:rsidRPr="007839C1">
        <w:rPr>
          <w:b/>
          <w:sz w:val="24"/>
          <w:szCs w:val="24"/>
        </w:rPr>
        <w:t>MÉRITO</w:t>
      </w:r>
    </w:p>
    <w:p w:rsidR="008138B2" w:rsidRPr="007839C1" w:rsidRDefault="008138B2" w:rsidP="008138B2">
      <w:pPr>
        <w:spacing w:after="0" w:line="360" w:lineRule="auto"/>
        <w:jc w:val="both"/>
        <w:rPr>
          <w:b/>
          <w:sz w:val="24"/>
          <w:szCs w:val="24"/>
        </w:rPr>
      </w:pPr>
    </w:p>
    <w:p w:rsidR="007A32E8" w:rsidRPr="007839C1" w:rsidRDefault="007A32E8" w:rsidP="007A32E8">
      <w:pPr>
        <w:spacing w:after="0" w:line="360" w:lineRule="auto"/>
        <w:ind w:firstLine="1134"/>
        <w:jc w:val="both"/>
        <w:rPr>
          <w:rFonts w:cs="Times New Roman"/>
          <w:sz w:val="24"/>
          <w:szCs w:val="24"/>
        </w:rPr>
      </w:pPr>
      <w:r w:rsidRPr="007839C1">
        <w:rPr>
          <w:sz w:val="24"/>
          <w:szCs w:val="24"/>
        </w:rPr>
        <w:t>De fato, a norma insculpida no art. 105 do Regimento Interno da Câmara Mun</w:t>
      </w:r>
      <w:r w:rsidRPr="007839C1">
        <w:rPr>
          <w:sz w:val="24"/>
          <w:szCs w:val="24"/>
        </w:rPr>
        <w:t>i</w:t>
      </w:r>
      <w:r w:rsidRPr="007839C1">
        <w:rPr>
          <w:sz w:val="24"/>
          <w:szCs w:val="24"/>
        </w:rPr>
        <w:t>cipal de Guaíba prevê que cabe ao Presidente do Legislativo a prerrogativa de devolver ao autor as proposições manifestadamente inconstitucionais (art. 105, II), alheias à competê</w:t>
      </w:r>
      <w:r w:rsidRPr="007839C1">
        <w:rPr>
          <w:sz w:val="24"/>
          <w:szCs w:val="24"/>
        </w:rPr>
        <w:t>n</w:t>
      </w:r>
      <w:r w:rsidRPr="007839C1">
        <w:rPr>
          <w:sz w:val="24"/>
          <w:szCs w:val="24"/>
        </w:rPr>
        <w:t>cia da Câmara (art. 105, I) ou ainda aquelas de caráter pessoal (art. 105, III)</w:t>
      </w:r>
      <w:r w:rsidRPr="007839C1">
        <w:rPr>
          <w:rFonts w:cs="Times New Roman"/>
          <w:sz w:val="24"/>
          <w:szCs w:val="24"/>
        </w:rPr>
        <w:t>. O mesmo co</w:t>
      </w:r>
      <w:r w:rsidRPr="007839C1">
        <w:rPr>
          <w:rFonts w:cs="Times New Roman"/>
          <w:sz w:val="24"/>
          <w:szCs w:val="24"/>
        </w:rPr>
        <w:t>n</w:t>
      </w:r>
      <w:r w:rsidRPr="007839C1">
        <w:rPr>
          <w:rFonts w:cs="Times New Roman"/>
          <w:sz w:val="24"/>
          <w:szCs w:val="24"/>
        </w:rPr>
        <w:t>trole já é exercido no âmbito da Câmara dos Deputados, com base em seu Regimento Inte</w:t>
      </w:r>
      <w:r w:rsidRPr="007839C1">
        <w:rPr>
          <w:rFonts w:cs="Times New Roman"/>
          <w:sz w:val="24"/>
          <w:szCs w:val="24"/>
        </w:rPr>
        <w:t>r</w:t>
      </w:r>
      <w:r w:rsidRPr="007839C1">
        <w:rPr>
          <w:rFonts w:cs="Times New Roman"/>
          <w:sz w:val="24"/>
          <w:szCs w:val="24"/>
        </w:rPr>
        <w:t>no (art. 137, § 1º), e no Regimento Interno do Senado Federal (art. 48, XI), e foi replicado em diversos outros regimentos internos de outros parlamentos brasileiros.</w:t>
      </w:r>
    </w:p>
    <w:p w:rsidR="007A32E8" w:rsidRPr="007839C1" w:rsidRDefault="007A32E8" w:rsidP="007A32E8">
      <w:pPr>
        <w:spacing w:after="0" w:line="360" w:lineRule="auto"/>
        <w:ind w:firstLine="1134"/>
        <w:jc w:val="both"/>
        <w:rPr>
          <w:rFonts w:cs="Times New Roman"/>
          <w:sz w:val="24"/>
          <w:szCs w:val="24"/>
        </w:rPr>
      </w:pPr>
    </w:p>
    <w:p w:rsidR="007A32E8" w:rsidRDefault="007A32E8" w:rsidP="007A32E8">
      <w:pPr>
        <w:spacing w:after="0" w:line="360" w:lineRule="auto"/>
        <w:ind w:firstLine="1134"/>
        <w:jc w:val="both"/>
        <w:rPr>
          <w:sz w:val="24"/>
          <w:szCs w:val="24"/>
        </w:rPr>
      </w:pPr>
      <w:r w:rsidRPr="007839C1">
        <w:rPr>
          <w:sz w:val="24"/>
          <w:szCs w:val="24"/>
        </w:rPr>
        <w:t>A doutrina trata do sentido da norma jurídica inscrita no art. 105 do Regimento Interno caracterizando-o como um controle de constitucionalidade político ou preventivo, sendo tal controle exercido dentro do Parlamento, através de exame superficial pela Pres</w:t>
      </w:r>
      <w:r w:rsidRPr="007839C1">
        <w:rPr>
          <w:sz w:val="24"/>
          <w:szCs w:val="24"/>
        </w:rPr>
        <w:t>i</w:t>
      </w:r>
      <w:r w:rsidRPr="007839C1">
        <w:rPr>
          <w:sz w:val="24"/>
          <w:szCs w:val="24"/>
        </w:rPr>
        <w:t>dência da Mesa Diretora, com natureza preventiva e interna, antes que a proposição possa percorrer o trâmite legislativo. Via de regra, a devolução se perfaz por despacho fundame</w:t>
      </w:r>
      <w:r w:rsidRPr="007839C1">
        <w:rPr>
          <w:sz w:val="24"/>
          <w:szCs w:val="24"/>
        </w:rPr>
        <w:t>n</w:t>
      </w:r>
      <w:r w:rsidRPr="007839C1">
        <w:rPr>
          <w:sz w:val="24"/>
          <w:szCs w:val="24"/>
        </w:rPr>
        <w:t>tado da Presidência, indicando o artigo constitucional violado, podendo o autor recorrer da decisão ao Plenário (art. 105, parágrafo único).</w:t>
      </w:r>
    </w:p>
    <w:p w:rsidR="000B20A4" w:rsidRDefault="000B20A4" w:rsidP="007A32E8">
      <w:pPr>
        <w:spacing w:after="0" w:line="360" w:lineRule="auto"/>
        <w:ind w:firstLine="1134"/>
        <w:jc w:val="both"/>
        <w:rPr>
          <w:sz w:val="24"/>
          <w:szCs w:val="24"/>
        </w:rPr>
      </w:pPr>
    </w:p>
    <w:p w:rsidR="000B20A4" w:rsidRDefault="000B20A4" w:rsidP="000B20A4">
      <w:pPr>
        <w:spacing w:after="0" w:line="360" w:lineRule="auto"/>
        <w:ind w:firstLine="1134"/>
        <w:jc w:val="both"/>
        <w:rPr>
          <w:sz w:val="24"/>
          <w:szCs w:val="24"/>
        </w:rPr>
      </w:pPr>
      <w:r>
        <w:rPr>
          <w:sz w:val="24"/>
          <w:szCs w:val="24"/>
        </w:rPr>
        <w:t>O artigo 18 da Constituição Federal de 1988, inaugurando o tema da organização do Estado, prevê que “A organização político-administrativa da República Federativa do Br</w:t>
      </w:r>
      <w:r>
        <w:rPr>
          <w:sz w:val="24"/>
          <w:szCs w:val="24"/>
        </w:rPr>
        <w:t>a</w:t>
      </w:r>
      <w:r>
        <w:rPr>
          <w:sz w:val="24"/>
          <w:szCs w:val="24"/>
        </w:rPr>
        <w:t xml:space="preserve">sil compreende a União, os Estados, o Distrito Federal e os Municípios, </w:t>
      </w:r>
      <w:r w:rsidRPr="002E6A65">
        <w:rPr>
          <w:b/>
          <w:sz w:val="24"/>
          <w:szCs w:val="24"/>
        </w:rPr>
        <w:t>todos autônomos</w:t>
      </w:r>
      <w:r>
        <w:rPr>
          <w:sz w:val="24"/>
          <w:szCs w:val="24"/>
        </w:rPr>
        <w:t>, nos termos desta Constituição.” O termo “autonomia política”, sob o ponto de vista jurídico, congrega um conjunto de capacidades conferidas aos entes federados para instituir sua o</w:t>
      </w:r>
      <w:r>
        <w:rPr>
          <w:sz w:val="24"/>
          <w:szCs w:val="24"/>
        </w:rPr>
        <w:t>r</w:t>
      </w:r>
      <w:r>
        <w:rPr>
          <w:sz w:val="24"/>
          <w:szCs w:val="24"/>
        </w:rPr>
        <w:t>ganização, legislação, administração e governo próprios.</w:t>
      </w:r>
    </w:p>
    <w:p w:rsidR="000B20A4" w:rsidRDefault="000B20A4" w:rsidP="000B20A4">
      <w:pPr>
        <w:spacing w:after="0" w:line="360" w:lineRule="auto"/>
        <w:ind w:firstLine="1134"/>
        <w:jc w:val="both"/>
        <w:rPr>
          <w:sz w:val="24"/>
          <w:szCs w:val="24"/>
        </w:rPr>
      </w:pPr>
    </w:p>
    <w:p w:rsidR="000B20A4" w:rsidRDefault="000B20A4" w:rsidP="000B20A4">
      <w:pPr>
        <w:spacing w:after="0" w:line="360" w:lineRule="auto"/>
        <w:ind w:firstLine="1134"/>
        <w:jc w:val="both"/>
        <w:rPr>
          <w:sz w:val="24"/>
          <w:szCs w:val="24"/>
        </w:rPr>
      </w:pPr>
      <w:r>
        <w:rPr>
          <w:sz w:val="24"/>
          <w:szCs w:val="24"/>
        </w:rPr>
        <w:t>A autoadministração e a autolegislação, contemplando o conjunto de competê</w:t>
      </w:r>
      <w:r>
        <w:rPr>
          <w:sz w:val="24"/>
          <w:szCs w:val="24"/>
        </w:rPr>
        <w:t>n</w:t>
      </w:r>
      <w:r>
        <w:rPr>
          <w:sz w:val="24"/>
          <w:szCs w:val="24"/>
        </w:rPr>
        <w:t xml:space="preserve">cias materiais e legislativas previstas na Constituição Federal para os </w:t>
      </w:r>
      <w:r w:rsidR="003D42FE">
        <w:rPr>
          <w:sz w:val="24"/>
          <w:szCs w:val="24"/>
        </w:rPr>
        <w:t>M</w:t>
      </w:r>
      <w:r>
        <w:rPr>
          <w:sz w:val="24"/>
          <w:szCs w:val="24"/>
        </w:rPr>
        <w:t>unicípios, é tratada no artigo 30 da Lei Maior, nos seguintes termos:</w:t>
      </w:r>
    </w:p>
    <w:p w:rsidR="000B20A4" w:rsidRPr="00C72C1D" w:rsidRDefault="000B20A4" w:rsidP="000B20A4">
      <w:pPr>
        <w:spacing w:after="0" w:line="240" w:lineRule="auto"/>
        <w:ind w:left="2268"/>
        <w:jc w:val="both"/>
        <w:rPr>
          <w:sz w:val="20"/>
          <w:szCs w:val="20"/>
        </w:rPr>
      </w:pPr>
      <w:r w:rsidRPr="00C72C1D">
        <w:rPr>
          <w:sz w:val="20"/>
          <w:szCs w:val="20"/>
        </w:rPr>
        <w:lastRenderedPageBreak/>
        <w:t>Art. 30. Compete aos Municípios:</w:t>
      </w:r>
    </w:p>
    <w:p w:rsidR="000B20A4" w:rsidRPr="00C72C1D" w:rsidRDefault="000B20A4" w:rsidP="000B20A4">
      <w:pPr>
        <w:spacing w:after="0" w:line="240" w:lineRule="auto"/>
        <w:ind w:left="2268"/>
        <w:jc w:val="both"/>
        <w:rPr>
          <w:b/>
          <w:sz w:val="20"/>
          <w:szCs w:val="20"/>
        </w:rPr>
      </w:pPr>
      <w:r w:rsidRPr="00C72C1D">
        <w:rPr>
          <w:b/>
          <w:sz w:val="20"/>
          <w:szCs w:val="20"/>
        </w:rPr>
        <w:t>I - legislar sobre assuntos de interesse local;</w:t>
      </w:r>
    </w:p>
    <w:p w:rsidR="000B20A4" w:rsidRPr="00C72C1D" w:rsidRDefault="000B20A4" w:rsidP="000B20A4">
      <w:pPr>
        <w:spacing w:after="0" w:line="240" w:lineRule="auto"/>
        <w:ind w:left="2268"/>
        <w:jc w:val="both"/>
        <w:rPr>
          <w:b/>
          <w:sz w:val="20"/>
          <w:szCs w:val="20"/>
        </w:rPr>
      </w:pPr>
      <w:r w:rsidRPr="00C72C1D">
        <w:rPr>
          <w:b/>
          <w:sz w:val="20"/>
          <w:szCs w:val="20"/>
        </w:rPr>
        <w:t>II - suplementar a legislação federal e a estadual no que couber;</w:t>
      </w:r>
    </w:p>
    <w:p w:rsidR="000B20A4" w:rsidRPr="00C72C1D" w:rsidRDefault="000B20A4" w:rsidP="000B20A4">
      <w:pPr>
        <w:spacing w:after="0" w:line="240" w:lineRule="auto"/>
        <w:ind w:left="2268"/>
        <w:jc w:val="both"/>
        <w:rPr>
          <w:sz w:val="20"/>
          <w:szCs w:val="20"/>
        </w:rPr>
      </w:pPr>
      <w:r w:rsidRPr="00C72C1D">
        <w:rPr>
          <w:sz w:val="20"/>
          <w:szCs w:val="20"/>
        </w:rPr>
        <w:t>III - instituir e arrecadar os tributos de sua competência, bem como aplicar suas rendas, sem prejuízo da obrigatoriedade de prestar contas e publicar balancetes nos prazos fixados em lei;</w:t>
      </w:r>
    </w:p>
    <w:p w:rsidR="000B20A4" w:rsidRPr="00C72C1D" w:rsidRDefault="000B20A4" w:rsidP="000B20A4">
      <w:pPr>
        <w:spacing w:after="0" w:line="240" w:lineRule="auto"/>
        <w:ind w:left="2268"/>
        <w:jc w:val="both"/>
        <w:rPr>
          <w:sz w:val="20"/>
          <w:szCs w:val="20"/>
        </w:rPr>
      </w:pPr>
      <w:r w:rsidRPr="00C72C1D">
        <w:rPr>
          <w:sz w:val="20"/>
          <w:szCs w:val="20"/>
        </w:rPr>
        <w:t>IV - criar, organizar e suprimir distritos, observada a legislação estadual;</w:t>
      </w:r>
    </w:p>
    <w:p w:rsidR="000B20A4" w:rsidRPr="000B20A4" w:rsidRDefault="000B20A4" w:rsidP="000B20A4">
      <w:pPr>
        <w:spacing w:after="0" w:line="240" w:lineRule="auto"/>
        <w:ind w:left="2268"/>
        <w:jc w:val="both"/>
        <w:rPr>
          <w:sz w:val="20"/>
          <w:szCs w:val="20"/>
        </w:rPr>
      </w:pPr>
      <w:r w:rsidRPr="000B20A4">
        <w:rPr>
          <w:sz w:val="20"/>
          <w:szCs w:val="20"/>
        </w:rPr>
        <w:t>V - organizar e prestar, diretamente ou sob regime de concessão ou permissão, os serviços públicos de interesse local, incluído o de transporte coletivo, que tem c</w:t>
      </w:r>
      <w:r w:rsidRPr="000B20A4">
        <w:rPr>
          <w:sz w:val="20"/>
          <w:szCs w:val="20"/>
        </w:rPr>
        <w:t>a</w:t>
      </w:r>
      <w:r w:rsidRPr="000B20A4">
        <w:rPr>
          <w:sz w:val="20"/>
          <w:szCs w:val="20"/>
        </w:rPr>
        <w:t>ráter essencial;</w:t>
      </w:r>
    </w:p>
    <w:p w:rsidR="000B20A4" w:rsidRPr="00C72C1D" w:rsidRDefault="000B20A4" w:rsidP="000B20A4">
      <w:pPr>
        <w:spacing w:after="0" w:line="240" w:lineRule="auto"/>
        <w:ind w:left="2268"/>
        <w:jc w:val="both"/>
        <w:rPr>
          <w:sz w:val="20"/>
          <w:szCs w:val="20"/>
        </w:rPr>
      </w:pPr>
      <w:r w:rsidRPr="00C72C1D">
        <w:rPr>
          <w:sz w:val="20"/>
          <w:szCs w:val="20"/>
        </w:rPr>
        <w:t>VI - manter, com a cooperação técnica e financeira da União e do Estado, progr</w:t>
      </w:r>
      <w:r w:rsidRPr="00C72C1D">
        <w:rPr>
          <w:sz w:val="20"/>
          <w:szCs w:val="20"/>
        </w:rPr>
        <w:t>a</w:t>
      </w:r>
      <w:r w:rsidRPr="00C72C1D">
        <w:rPr>
          <w:sz w:val="20"/>
          <w:szCs w:val="20"/>
        </w:rPr>
        <w:t>mas de educação infantil e de ensino fundamental; (Redação dada pela Emenda Constitucional nº 53, de 2006)</w:t>
      </w:r>
    </w:p>
    <w:p w:rsidR="000B20A4" w:rsidRPr="00C72C1D" w:rsidRDefault="000B20A4" w:rsidP="000B20A4">
      <w:pPr>
        <w:spacing w:after="0" w:line="240" w:lineRule="auto"/>
        <w:ind w:left="2268"/>
        <w:jc w:val="both"/>
        <w:rPr>
          <w:sz w:val="20"/>
          <w:szCs w:val="20"/>
        </w:rPr>
      </w:pPr>
      <w:r w:rsidRPr="00C72C1D">
        <w:rPr>
          <w:sz w:val="20"/>
          <w:szCs w:val="20"/>
        </w:rPr>
        <w:t>VII - prestar, com a cooperação técnica e financeira da União e do Estado, serviços de atendimento à saúde da população;</w:t>
      </w:r>
    </w:p>
    <w:p w:rsidR="000B20A4" w:rsidRPr="00C72C1D" w:rsidRDefault="000B20A4" w:rsidP="000B20A4">
      <w:pPr>
        <w:spacing w:after="0" w:line="240" w:lineRule="auto"/>
        <w:ind w:left="2268"/>
        <w:jc w:val="both"/>
        <w:rPr>
          <w:sz w:val="20"/>
          <w:szCs w:val="20"/>
        </w:rPr>
      </w:pPr>
      <w:r w:rsidRPr="00C72C1D">
        <w:rPr>
          <w:sz w:val="20"/>
          <w:szCs w:val="20"/>
        </w:rPr>
        <w:t>VIII - promover, no que couber, adequado ordenamento territorial, mediante pl</w:t>
      </w:r>
      <w:r w:rsidRPr="00C72C1D">
        <w:rPr>
          <w:sz w:val="20"/>
          <w:szCs w:val="20"/>
        </w:rPr>
        <w:t>a</w:t>
      </w:r>
      <w:r w:rsidRPr="00C72C1D">
        <w:rPr>
          <w:sz w:val="20"/>
          <w:szCs w:val="20"/>
        </w:rPr>
        <w:t>nejamento e controle do uso, do parcelamento e da ocupação do solo urbano;</w:t>
      </w:r>
    </w:p>
    <w:p w:rsidR="000B20A4" w:rsidRPr="00C72C1D" w:rsidRDefault="000B20A4" w:rsidP="000B20A4">
      <w:pPr>
        <w:spacing w:after="0" w:line="240" w:lineRule="auto"/>
        <w:ind w:left="2268"/>
        <w:jc w:val="both"/>
        <w:rPr>
          <w:sz w:val="20"/>
          <w:szCs w:val="20"/>
        </w:rPr>
      </w:pPr>
      <w:r w:rsidRPr="00C72C1D">
        <w:rPr>
          <w:sz w:val="20"/>
          <w:szCs w:val="20"/>
        </w:rPr>
        <w:t>IX - promover a proteção do patrimônio histórico-cultural local, observada a legi</w:t>
      </w:r>
      <w:r w:rsidRPr="00C72C1D">
        <w:rPr>
          <w:sz w:val="20"/>
          <w:szCs w:val="20"/>
        </w:rPr>
        <w:t>s</w:t>
      </w:r>
      <w:r w:rsidRPr="00C72C1D">
        <w:rPr>
          <w:sz w:val="20"/>
          <w:szCs w:val="20"/>
        </w:rPr>
        <w:t>lação e a ação fiscalizadora federal e estadual.</w:t>
      </w:r>
    </w:p>
    <w:p w:rsidR="000B20A4" w:rsidRDefault="000B20A4" w:rsidP="000B20A4">
      <w:pPr>
        <w:spacing w:after="0" w:line="360" w:lineRule="auto"/>
        <w:ind w:firstLine="1134"/>
        <w:jc w:val="both"/>
        <w:rPr>
          <w:sz w:val="24"/>
          <w:szCs w:val="24"/>
        </w:rPr>
      </w:pPr>
    </w:p>
    <w:p w:rsidR="000B20A4" w:rsidRDefault="000B20A4" w:rsidP="00C918AF">
      <w:pPr>
        <w:spacing w:after="0" w:line="360" w:lineRule="auto"/>
        <w:ind w:firstLine="1134"/>
        <w:jc w:val="both"/>
        <w:rPr>
          <w:sz w:val="24"/>
          <w:szCs w:val="24"/>
        </w:rPr>
      </w:pPr>
      <w:r>
        <w:rPr>
          <w:sz w:val="24"/>
          <w:szCs w:val="24"/>
        </w:rPr>
        <w:t>A medida que se pretende instituir se insere, efetivamente, na definição de int</w:t>
      </w:r>
      <w:r>
        <w:rPr>
          <w:sz w:val="24"/>
          <w:szCs w:val="24"/>
        </w:rPr>
        <w:t>e</w:t>
      </w:r>
      <w:r>
        <w:rPr>
          <w:sz w:val="24"/>
          <w:szCs w:val="24"/>
        </w:rPr>
        <w:t>resse local</w:t>
      </w:r>
      <w:r w:rsidR="00C918AF">
        <w:rPr>
          <w:sz w:val="24"/>
          <w:szCs w:val="24"/>
        </w:rPr>
        <w:t xml:space="preserve">, pois, segundo </w:t>
      </w:r>
      <w:r w:rsidR="00C918AF" w:rsidRPr="00261D8B">
        <w:rPr>
          <w:sz w:val="24"/>
          <w:szCs w:val="24"/>
        </w:rPr>
        <w:t>Alexandre de Moraes</w:t>
      </w:r>
      <w:r w:rsidR="00C918AF">
        <w:rPr>
          <w:sz w:val="24"/>
          <w:szCs w:val="24"/>
        </w:rPr>
        <w:t xml:space="preserve">, </w:t>
      </w:r>
      <w:r w:rsidR="00C918AF" w:rsidRPr="00261D8B">
        <w:rPr>
          <w:sz w:val="24"/>
          <w:szCs w:val="24"/>
        </w:rPr>
        <w:t>"interesse local refere-se aos interesses que disserem respeito mais diretamente às necessidades imediatas do município, mesmo que acabem gerando reflexos no interesse regional (Estados) ou geral (União)</w:t>
      </w:r>
      <w:r w:rsidR="00C918AF">
        <w:rPr>
          <w:sz w:val="24"/>
          <w:szCs w:val="24"/>
        </w:rPr>
        <w:t>.</w:t>
      </w:r>
      <w:r w:rsidR="00C918AF" w:rsidRPr="00261D8B">
        <w:rPr>
          <w:sz w:val="24"/>
          <w:szCs w:val="24"/>
        </w:rPr>
        <w:t>" (Constituição do Brasil Interpretada e Legislação Constitucional. 9ª ed., São Paulo: Atlas, 2013, p. 740).</w:t>
      </w:r>
      <w:r w:rsidR="00C918AF">
        <w:rPr>
          <w:sz w:val="24"/>
          <w:szCs w:val="24"/>
        </w:rPr>
        <w:t xml:space="preserve"> Assim, a matéria constante na proposta se adéqua efetivamente ao interesse l</w:t>
      </w:r>
      <w:r w:rsidR="000152A1">
        <w:rPr>
          <w:sz w:val="24"/>
          <w:szCs w:val="24"/>
        </w:rPr>
        <w:t xml:space="preserve">ocal, na medida em que dispõe </w:t>
      </w:r>
      <w:r w:rsidR="009735FD">
        <w:rPr>
          <w:sz w:val="24"/>
          <w:szCs w:val="24"/>
        </w:rPr>
        <w:t>sobre a organização das reuniões ordinárias da Câmara Municipal.</w:t>
      </w:r>
    </w:p>
    <w:p w:rsidR="009735FD" w:rsidRDefault="009735FD" w:rsidP="00C918AF">
      <w:pPr>
        <w:spacing w:after="0" w:line="360" w:lineRule="auto"/>
        <w:ind w:firstLine="1134"/>
        <w:jc w:val="both"/>
        <w:rPr>
          <w:sz w:val="24"/>
          <w:szCs w:val="24"/>
        </w:rPr>
      </w:pPr>
    </w:p>
    <w:p w:rsidR="00C82596" w:rsidRDefault="00C82596" w:rsidP="009735FD">
      <w:pPr>
        <w:spacing w:after="0" w:line="360" w:lineRule="auto"/>
        <w:ind w:firstLine="1134"/>
        <w:jc w:val="both"/>
        <w:rPr>
          <w:sz w:val="24"/>
          <w:szCs w:val="24"/>
        </w:rPr>
      </w:pPr>
      <w:r w:rsidRPr="007839C1">
        <w:rPr>
          <w:sz w:val="24"/>
          <w:szCs w:val="24"/>
        </w:rPr>
        <w:t>Verifica-se</w:t>
      </w:r>
      <w:r>
        <w:rPr>
          <w:sz w:val="24"/>
          <w:szCs w:val="24"/>
        </w:rPr>
        <w:t>, ainda,</w:t>
      </w:r>
      <w:r w:rsidRPr="007839C1">
        <w:rPr>
          <w:sz w:val="24"/>
          <w:szCs w:val="24"/>
        </w:rPr>
        <w:t xml:space="preserve"> estar adequada a iniciativa para a deflagração do processo l</w:t>
      </w:r>
      <w:r w:rsidRPr="007839C1">
        <w:rPr>
          <w:sz w:val="24"/>
          <w:szCs w:val="24"/>
        </w:rPr>
        <w:t>e</w:t>
      </w:r>
      <w:r w:rsidRPr="007839C1">
        <w:rPr>
          <w:sz w:val="24"/>
          <w:szCs w:val="24"/>
        </w:rPr>
        <w:t>gislativo, pois</w:t>
      </w:r>
      <w:r>
        <w:rPr>
          <w:sz w:val="24"/>
          <w:szCs w:val="24"/>
        </w:rPr>
        <w:t>, tratando-se de reforma do Regimento Interno, a proposta é de iniciativa pr</w:t>
      </w:r>
      <w:r>
        <w:rPr>
          <w:sz w:val="24"/>
          <w:szCs w:val="24"/>
        </w:rPr>
        <w:t>i</w:t>
      </w:r>
      <w:r>
        <w:rPr>
          <w:sz w:val="24"/>
          <w:szCs w:val="24"/>
        </w:rPr>
        <w:t>vativa da Câmara Municipal (art. 28, inciso II, da Lei Orgânica) e deve ser subscrita pela mai</w:t>
      </w:r>
      <w:r>
        <w:rPr>
          <w:sz w:val="24"/>
          <w:szCs w:val="24"/>
        </w:rPr>
        <w:t>o</w:t>
      </w:r>
      <w:r>
        <w:rPr>
          <w:sz w:val="24"/>
          <w:szCs w:val="24"/>
        </w:rPr>
        <w:t>ria absoluta dos membros do Legislativo</w:t>
      </w:r>
      <w:r w:rsidR="00271AF9">
        <w:rPr>
          <w:sz w:val="24"/>
          <w:szCs w:val="24"/>
        </w:rPr>
        <w:t xml:space="preserve"> (art. 138 do RI)</w:t>
      </w:r>
      <w:r>
        <w:rPr>
          <w:sz w:val="24"/>
          <w:szCs w:val="24"/>
        </w:rPr>
        <w:t>, ou seja, por, no mínimo, nove ver</w:t>
      </w:r>
      <w:r>
        <w:rPr>
          <w:sz w:val="24"/>
          <w:szCs w:val="24"/>
        </w:rPr>
        <w:t>e</w:t>
      </w:r>
      <w:r>
        <w:rPr>
          <w:sz w:val="24"/>
          <w:szCs w:val="24"/>
        </w:rPr>
        <w:t>adores, o que foi atendido, conforme rol de assinaturas que acompanha o proj</w:t>
      </w:r>
      <w:r>
        <w:rPr>
          <w:sz w:val="24"/>
          <w:szCs w:val="24"/>
        </w:rPr>
        <w:t>e</w:t>
      </w:r>
      <w:r>
        <w:rPr>
          <w:sz w:val="24"/>
          <w:szCs w:val="24"/>
        </w:rPr>
        <w:t>to.</w:t>
      </w:r>
    </w:p>
    <w:p w:rsidR="00C82596" w:rsidRDefault="00C82596" w:rsidP="009735FD">
      <w:pPr>
        <w:spacing w:after="0" w:line="360" w:lineRule="auto"/>
        <w:ind w:firstLine="1134"/>
        <w:jc w:val="both"/>
        <w:rPr>
          <w:sz w:val="24"/>
          <w:szCs w:val="24"/>
        </w:rPr>
      </w:pPr>
    </w:p>
    <w:p w:rsidR="009735FD" w:rsidRDefault="009735FD" w:rsidP="009735FD">
      <w:pPr>
        <w:spacing w:after="0" w:line="360" w:lineRule="auto"/>
        <w:ind w:firstLine="1134"/>
        <w:jc w:val="both"/>
        <w:rPr>
          <w:sz w:val="24"/>
          <w:szCs w:val="24"/>
        </w:rPr>
      </w:pPr>
      <w:r>
        <w:rPr>
          <w:sz w:val="24"/>
          <w:szCs w:val="24"/>
        </w:rPr>
        <w:t xml:space="preserve">Nesses termos, </w:t>
      </w:r>
      <w:r w:rsidR="00C82596">
        <w:rPr>
          <w:sz w:val="24"/>
          <w:szCs w:val="24"/>
        </w:rPr>
        <w:t xml:space="preserve">segundo o </w:t>
      </w:r>
      <w:r w:rsidRPr="007839C1">
        <w:rPr>
          <w:sz w:val="24"/>
          <w:szCs w:val="24"/>
        </w:rPr>
        <w:t xml:space="preserve">artigo 51, inc. IV, e o artigo 52, inc. XIII, da CF/88, </w:t>
      </w:r>
      <w:r w:rsidR="00C82596">
        <w:rPr>
          <w:sz w:val="24"/>
          <w:szCs w:val="24"/>
        </w:rPr>
        <w:t xml:space="preserve">é competência </w:t>
      </w:r>
      <w:r w:rsidRPr="007839C1">
        <w:rPr>
          <w:sz w:val="24"/>
          <w:szCs w:val="24"/>
        </w:rPr>
        <w:t xml:space="preserve">privativa da Câmara dos Deputados e do Senado Federal “dispor sobre sua </w:t>
      </w:r>
      <w:r w:rsidRPr="007839C1">
        <w:rPr>
          <w:b/>
          <w:sz w:val="24"/>
          <w:szCs w:val="24"/>
        </w:rPr>
        <w:t>o</w:t>
      </w:r>
      <w:r w:rsidRPr="007839C1">
        <w:rPr>
          <w:b/>
          <w:sz w:val="24"/>
          <w:szCs w:val="24"/>
        </w:rPr>
        <w:t>r</w:t>
      </w:r>
      <w:r w:rsidRPr="007839C1">
        <w:rPr>
          <w:b/>
          <w:sz w:val="24"/>
          <w:szCs w:val="24"/>
        </w:rPr>
        <w:t>ganização</w:t>
      </w:r>
      <w:r w:rsidRPr="007839C1">
        <w:rPr>
          <w:sz w:val="24"/>
          <w:szCs w:val="24"/>
        </w:rPr>
        <w:t xml:space="preserve">, </w:t>
      </w:r>
      <w:r w:rsidRPr="007839C1">
        <w:rPr>
          <w:b/>
          <w:sz w:val="24"/>
          <w:szCs w:val="24"/>
        </w:rPr>
        <w:t>funcionamento</w:t>
      </w:r>
      <w:r w:rsidRPr="007839C1">
        <w:rPr>
          <w:sz w:val="24"/>
          <w:szCs w:val="24"/>
        </w:rPr>
        <w:t>, polícia, criação, transformação ou extinção dos cargos, empr</w:t>
      </w:r>
      <w:r w:rsidRPr="007839C1">
        <w:rPr>
          <w:sz w:val="24"/>
          <w:szCs w:val="24"/>
        </w:rPr>
        <w:t>e</w:t>
      </w:r>
      <w:r w:rsidRPr="007839C1">
        <w:rPr>
          <w:sz w:val="24"/>
          <w:szCs w:val="24"/>
        </w:rPr>
        <w:t>gos e funções de seus serviços, e a iniciativa de lei para fixação da respectiva remuner</w:t>
      </w:r>
      <w:r w:rsidRPr="007839C1">
        <w:rPr>
          <w:sz w:val="24"/>
          <w:szCs w:val="24"/>
        </w:rPr>
        <w:t>a</w:t>
      </w:r>
      <w:r w:rsidRPr="007839C1">
        <w:rPr>
          <w:sz w:val="24"/>
          <w:szCs w:val="24"/>
        </w:rPr>
        <w:t>ção, observados os parâmetros estabelecidos na lei de diretrizes orçament</w:t>
      </w:r>
      <w:r w:rsidRPr="007839C1">
        <w:rPr>
          <w:sz w:val="24"/>
          <w:szCs w:val="24"/>
        </w:rPr>
        <w:t>á</w:t>
      </w:r>
      <w:r w:rsidRPr="007839C1">
        <w:rPr>
          <w:sz w:val="24"/>
          <w:szCs w:val="24"/>
        </w:rPr>
        <w:t>rias.”</w:t>
      </w:r>
    </w:p>
    <w:p w:rsidR="009735FD" w:rsidRDefault="009735FD" w:rsidP="009735FD">
      <w:pPr>
        <w:spacing w:after="0" w:line="360" w:lineRule="auto"/>
        <w:ind w:firstLine="1134"/>
        <w:jc w:val="both"/>
        <w:rPr>
          <w:sz w:val="24"/>
          <w:szCs w:val="24"/>
        </w:rPr>
      </w:pPr>
      <w:r w:rsidRPr="007839C1">
        <w:rPr>
          <w:sz w:val="24"/>
          <w:szCs w:val="24"/>
        </w:rPr>
        <w:lastRenderedPageBreak/>
        <w:t xml:space="preserve">No mesmo sentido, o artigo 53, inc. XXXV, da Constituição Estadual Gaúcha prevê a competência exclusiva da Assembleia Legislativa para “dispor sobre sua </w:t>
      </w:r>
      <w:r w:rsidRPr="007839C1">
        <w:rPr>
          <w:b/>
          <w:sz w:val="24"/>
          <w:szCs w:val="24"/>
        </w:rPr>
        <w:t>organização</w:t>
      </w:r>
      <w:r w:rsidRPr="007839C1">
        <w:rPr>
          <w:sz w:val="24"/>
          <w:szCs w:val="24"/>
        </w:rPr>
        <w:t xml:space="preserve">, </w:t>
      </w:r>
      <w:r w:rsidRPr="007839C1">
        <w:rPr>
          <w:b/>
          <w:sz w:val="24"/>
          <w:szCs w:val="24"/>
        </w:rPr>
        <w:t>fu</w:t>
      </w:r>
      <w:r w:rsidRPr="007839C1">
        <w:rPr>
          <w:b/>
          <w:sz w:val="24"/>
          <w:szCs w:val="24"/>
        </w:rPr>
        <w:t>n</w:t>
      </w:r>
      <w:r w:rsidRPr="007839C1">
        <w:rPr>
          <w:b/>
          <w:sz w:val="24"/>
          <w:szCs w:val="24"/>
        </w:rPr>
        <w:t>cionamento</w:t>
      </w:r>
      <w:r w:rsidRPr="007839C1">
        <w:rPr>
          <w:sz w:val="24"/>
          <w:szCs w:val="24"/>
        </w:rPr>
        <w:t>, polícia, criação, transformação ou extinção dos cargos, empregos e funções de seus serviços, e a iniciativa de lei para fixação da respectiva remuneração, observados os parâmetros estabelecidos na lei de diretrizes orçamentárias, bem como elaborar sua folha de pagamento.” Tais dispositivos são aplicáveis por simetria em âmbito municipal, visto que, em termos gerais, são normas de organização do Poder Legislativo.</w:t>
      </w:r>
    </w:p>
    <w:p w:rsidR="00C82596" w:rsidRDefault="00C82596" w:rsidP="009735FD">
      <w:pPr>
        <w:spacing w:after="0" w:line="360" w:lineRule="auto"/>
        <w:ind w:firstLine="1134"/>
        <w:jc w:val="both"/>
        <w:rPr>
          <w:sz w:val="24"/>
          <w:szCs w:val="24"/>
        </w:rPr>
      </w:pPr>
    </w:p>
    <w:p w:rsidR="00C82596" w:rsidRDefault="00C82596" w:rsidP="009735FD">
      <w:pPr>
        <w:spacing w:after="0" w:line="360" w:lineRule="auto"/>
        <w:ind w:firstLine="1134"/>
        <w:jc w:val="both"/>
        <w:rPr>
          <w:sz w:val="24"/>
          <w:szCs w:val="24"/>
        </w:rPr>
      </w:pPr>
      <w:r>
        <w:rPr>
          <w:sz w:val="24"/>
          <w:szCs w:val="24"/>
        </w:rPr>
        <w:t>Em relação ao conteúdo, o projeto dispõe sobre alteração no art. 61, inciso I, do Regimento Interno, com o fim de definir a realização de reunião ordinária, no dia útil subs</w:t>
      </w:r>
      <w:r>
        <w:rPr>
          <w:sz w:val="24"/>
          <w:szCs w:val="24"/>
        </w:rPr>
        <w:t>e</w:t>
      </w:r>
      <w:r>
        <w:rPr>
          <w:sz w:val="24"/>
          <w:szCs w:val="24"/>
        </w:rPr>
        <w:t>quente, nos casos em que ela coincida com feriado, ponto facultativo ou esteja impossibil</w:t>
      </w:r>
      <w:r>
        <w:rPr>
          <w:sz w:val="24"/>
          <w:szCs w:val="24"/>
        </w:rPr>
        <w:t>i</w:t>
      </w:r>
      <w:r>
        <w:rPr>
          <w:sz w:val="24"/>
          <w:szCs w:val="24"/>
        </w:rPr>
        <w:t xml:space="preserve">tada por força de motivo alheio, ressalvando-se </w:t>
      </w:r>
      <w:r w:rsidR="007D5C08">
        <w:rPr>
          <w:sz w:val="24"/>
          <w:szCs w:val="24"/>
        </w:rPr>
        <w:t xml:space="preserve">a faculdade de estabelecer outra data por deliberação de 2/3 dos membros da Casa Legislativa. Tratando-se de matéria regimental – </w:t>
      </w:r>
      <w:r w:rsidR="007D5C08">
        <w:rPr>
          <w:i/>
          <w:sz w:val="24"/>
          <w:szCs w:val="24"/>
        </w:rPr>
        <w:t>interna corporis</w:t>
      </w:r>
      <w:r w:rsidR="007D5C08">
        <w:rPr>
          <w:sz w:val="24"/>
          <w:szCs w:val="24"/>
        </w:rPr>
        <w:t xml:space="preserve"> – e por não haver colisão com outras normas de organização interna da C</w:t>
      </w:r>
      <w:r w:rsidR="007D5C08">
        <w:rPr>
          <w:sz w:val="24"/>
          <w:szCs w:val="24"/>
        </w:rPr>
        <w:t>â</w:t>
      </w:r>
      <w:r w:rsidR="007D5C08">
        <w:rPr>
          <w:sz w:val="24"/>
          <w:szCs w:val="24"/>
        </w:rPr>
        <w:t>mara Municipal, nada obsta a tramitação da proposta.</w:t>
      </w:r>
    </w:p>
    <w:p w:rsidR="009735FD" w:rsidRDefault="009735FD" w:rsidP="009735FD">
      <w:pPr>
        <w:spacing w:after="0" w:line="360" w:lineRule="auto"/>
        <w:ind w:firstLine="1134"/>
        <w:jc w:val="both"/>
        <w:rPr>
          <w:sz w:val="24"/>
          <w:szCs w:val="24"/>
        </w:rPr>
      </w:pPr>
    </w:p>
    <w:p w:rsidR="00F85172" w:rsidRPr="007839C1" w:rsidRDefault="00F85172" w:rsidP="00F85172">
      <w:pPr>
        <w:pStyle w:val="PargrafodaLista"/>
        <w:numPr>
          <w:ilvl w:val="0"/>
          <w:numId w:val="1"/>
        </w:numPr>
        <w:spacing w:after="0" w:line="360" w:lineRule="auto"/>
        <w:jc w:val="both"/>
        <w:rPr>
          <w:b/>
          <w:sz w:val="24"/>
          <w:szCs w:val="24"/>
        </w:rPr>
      </w:pPr>
      <w:r w:rsidRPr="007839C1">
        <w:rPr>
          <w:b/>
          <w:sz w:val="24"/>
          <w:szCs w:val="24"/>
        </w:rPr>
        <w:t>CONCLUSÃO</w:t>
      </w:r>
    </w:p>
    <w:p w:rsidR="00F85172" w:rsidRPr="007839C1" w:rsidRDefault="00F85172" w:rsidP="00F85172">
      <w:pPr>
        <w:spacing w:after="0" w:line="360" w:lineRule="auto"/>
        <w:jc w:val="both"/>
        <w:rPr>
          <w:b/>
          <w:sz w:val="24"/>
          <w:szCs w:val="24"/>
        </w:rPr>
      </w:pPr>
    </w:p>
    <w:p w:rsidR="007D5C08" w:rsidRDefault="007D5C08" w:rsidP="007D5C08">
      <w:pPr>
        <w:spacing w:after="0" w:line="360" w:lineRule="auto"/>
        <w:ind w:firstLine="1134"/>
        <w:jc w:val="both"/>
        <w:rPr>
          <w:sz w:val="24"/>
          <w:szCs w:val="24"/>
        </w:rPr>
      </w:pPr>
      <w:r w:rsidRPr="008727A2">
        <w:rPr>
          <w:sz w:val="24"/>
          <w:szCs w:val="24"/>
        </w:rPr>
        <w:t xml:space="preserve">Diante do exposto, respeitada a natureza </w:t>
      </w:r>
      <w:r w:rsidRPr="006F30DB">
        <w:rPr>
          <w:sz w:val="24"/>
          <w:szCs w:val="24"/>
        </w:rPr>
        <w:t>opinativa</w:t>
      </w:r>
      <w:r w:rsidRPr="008727A2">
        <w:rPr>
          <w:sz w:val="24"/>
          <w:szCs w:val="24"/>
        </w:rPr>
        <w:t xml:space="preserve"> do parecer jurídico, que não vincula, por si só, a manifestação das comissões permanentes e a convicção dos membros desta Câmara, e assegurada a </w:t>
      </w:r>
      <w:r w:rsidRPr="006F30DB">
        <w:rPr>
          <w:sz w:val="24"/>
          <w:szCs w:val="24"/>
        </w:rPr>
        <w:t>soberania do Plenário</w:t>
      </w:r>
      <w:r w:rsidRPr="008727A2">
        <w:rPr>
          <w:sz w:val="24"/>
          <w:szCs w:val="24"/>
        </w:rPr>
        <w:t xml:space="preserve">, a Procuradoria </w:t>
      </w:r>
      <w:r w:rsidRPr="003627F6">
        <w:rPr>
          <w:b/>
          <w:sz w:val="24"/>
          <w:szCs w:val="24"/>
        </w:rPr>
        <w:t>opina</w:t>
      </w:r>
      <w:r w:rsidRPr="008727A2">
        <w:rPr>
          <w:sz w:val="24"/>
          <w:szCs w:val="24"/>
        </w:rPr>
        <w:t xml:space="preserve"> pela legalidade e </w:t>
      </w:r>
      <w:r>
        <w:rPr>
          <w:sz w:val="24"/>
          <w:szCs w:val="24"/>
        </w:rPr>
        <w:t xml:space="preserve">pela </w:t>
      </w:r>
      <w:r w:rsidRPr="008727A2">
        <w:rPr>
          <w:sz w:val="24"/>
          <w:szCs w:val="24"/>
        </w:rPr>
        <w:t>regular tra</w:t>
      </w:r>
      <w:r>
        <w:rPr>
          <w:sz w:val="24"/>
          <w:szCs w:val="24"/>
        </w:rPr>
        <w:t>mitação do Projeto de Resolução nº 015/2021</w:t>
      </w:r>
      <w:r w:rsidRPr="008727A2">
        <w:rPr>
          <w:sz w:val="24"/>
          <w:szCs w:val="24"/>
        </w:rPr>
        <w:t>, por inexistirem vícios de nat</w:t>
      </w:r>
      <w:r w:rsidRPr="008727A2">
        <w:rPr>
          <w:sz w:val="24"/>
          <w:szCs w:val="24"/>
        </w:rPr>
        <w:t>u</w:t>
      </w:r>
      <w:r w:rsidRPr="008727A2">
        <w:rPr>
          <w:sz w:val="24"/>
          <w:szCs w:val="24"/>
        </w:rPr>
        <w:t>reza material ou formal que impeçam a sua deliberação em Plenário</w:t>
      </w:r>
      <w:r>
        <w:rPr>
          <w:sz w:val="24"/>
          <w:szCs w:val="24"/>
        </w:rPr>
        <w:t>, observando-se que a tramitação deverá obedecer ao rito especial do art. 138 do Regimento Interno</w:t>
      </w:r>
      <w:r w:rsidRPr="008727A2">
        <w:rPr>
          <w:sz w:val="24"/>
          <w:szCs w:val="24"/>
        </w:rPr>
        <w:t>.</w:t>
      </w:r>
    </w:p>
    <w:p w:rsidR="007D5C08" w:rsidRDefault="007D5C08" w:rsidP="007D5C08">
      <w:pPr>
        <w:spacing w:after="0" w:line="360" w:lineRule="auto"/>
        <w:jc w:val="both"/>
        <w:rPr>
          <w:sz w:val="24"/>
          <w:szCs w:val="24"/>
          <w:lang w:eastAsia="pt-BR"/>
        </w:rPr>
      </w:pPr>
    </w:p>
    <w:p w:rsidR="007D5C08" w:rsidRDefault="007D5C08" w:rsidP="007D5C08">
      <w:pPr>
        <w:spacing w:after="0" w:line="360" w:lineRule="auto"/>
        <w:jc w:val="center"/>
        <w:rPr>
          <w:sz w:val="24"/>
          <w:szCs w:val="24"/>
          <w:lang w:eastAsia="pt-BR"/>
        </w:rPr>
      </w:pPr>
      <w:r>
        <w:rPr>
          <w:sz w:val="24"/>
          <w:szCs w:val="24"/>
          <w:lang w:eastAsia="pt-BR"/>
        </w:rPr>
        <w:t>Guaíba, 19 de outubro de 2021.</w:t>
      </w:r>
    </w:p>
    <w:p w:rsidR="007D5C08" w:rsidRDefault="007D5C08" w:rsidP="007D5C08">
      <w:pPr>
        <w:spacing w:after="0" w:line="360" w:lineRule="auto"/>
        <w:jc w:val="center"/>
        <w:rPr>
          <w:sz w:val="24"/>
          <w:szCs w:val="24"/>
          <w:lang w:eastAsia="pt-BR"/>
        </w:rPr>
      </w:pPr>
    </w:p>
    <w:p w:rsidR="007D5C08" w:rsidRDefault="007D5C08" w:rsidP="007D5C08">
      <w:pPr>
        <w:spacing w:after="0" w:line="360" w:lineRule="auto"/>
        <w:jc w:val="center"/>
        <w:rPr>
          <w:b/>
          <w:sz w:val="24"/>
          <w:szCs w:val="24"/>
          <w:lang w:eastAsia="pt-BR"/>
        </w:rPr>
      </w:pPr>
      <w:r>
        <w:rPr>
          <w:b/>
          <w:sz w:val="24"/>
          <w:szCs w:val="24"/>
          <w:lang w:eastAsia="pt-BR"/>
        </w:rPr>
        <w:t>GUSTAVO DOBLER</w:t>
      </w:r>
    </w:p>
    <w:p w:rsidR="007D5C08" w:rsidRDefault="007D5C08" w:rsidP="007D5C08">
      <w:pPr>
        <w:spacing w:after="0" w:line="360" w:lineRule="auto"/>
        <w:jc w:val="center"/>
        <w:rPr>
          <w:sz w:val="24"/>
          <w:szCs w:val="24"/>
          <w:lang w:eastAsia="pt-BR"/>
        </w:rPr>
      </w:pPr>
      <w:r>
        <w:rPr>
          <w:sz w:val="24"/>
          <w:szCs w:val="24"/>
          <w:lang w:eastAsia="pt-BR"/>
        </w:rPr>
        <w:t>Procurador</w:t>
      </w:r>
    </w:p>
    <w:p w:rsidR="006020BE" w:rsidRPr="004C4AFC" w:rsidRDefault="007D5C08" w:rsidP="007D5C08">
      <w:pPr>
        <w:spacing w:after="0" w:line="360" w:lineRule="auto"/>
        <w:jc w:val="center"/>
        <w:rPr>
          <w:sz w:val="24"/>
          <w:szCs w:val="24"/>
        </w:rPr>
      </w:pPr>
      <w:r>
        <w:rPr>
          <w:sz w:val="24"/>
          <w:szCs w:val="24"/>
          <w:lang w:eastAsia="pt-BR"/>
        </w:rPr>
        <w:t>OAB/RS nº 110.114B</w:t>
      </w:r>
    </w:p>
    <w:sectPr w:rsidR="006020BE" w:rsidRPr="004C4AFC" w:rsidSect="00FC2476">
      <w:headerReference w:type="default" r:id="rId8"/>
      <w:pgSz w:w="11906" w:h="16838"/>
      <w:pgMar w:top="2127"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406" w:rsidRDefault="002E5406" w:rsidP="00B365A3">
      <w:pPr>
        <w:spacing w:after="0" w:line="240" w:lineRule="auto"/>
      </w:pPr>
      <w:r>
        <w:separator/>
      </w:r>
    </w:p>
  </w:endnote>
  <w:endnote w:type="continuationSeparator" w:id="1">
    <w:p w:rsidR="002E5406" w:rsidRDefault="002E5406" w:rsidP="00B36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406" w:rsidRDefault="002E5406" w:rsidP="00B365A3">
      <w:pPr>
        <w:spacing w:after="0" w:line="240" w:lineRule="auto"/>
      </w:pPr>
      <w:r>
        <w:separator/>
      </w:r>
    </w:p>
  </w:footnote>
  <w:footnote w:type="continuationSeparator" w:id="1">
    <w:p w:rsidR="002E5406" w:rsidRDefault="002E5406" w:rsidP="00B36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12" w:rsidRDefault="00E64912" w:rsidP="00B365A3">
    <w:pPr>
      <w:pStyle w:val="Cabealho"/>
      <w:jc w:val="center"/>
    </w:pPr>
    <w:r>
      <w:rPr>
        <w:noProof/>
        <w:lang w:eastAsia="pt-BR"/>
      </w:rPr>
      <w:drawing>
        <wp:inline distT="0" distB="0" distL="0" distR="0">
          <wp:extent cx="4248150" cy="781050"/>
          <wp:effectExtent l="19050" t="0" r="0" b="0"/>
          <wp:docPr id="3" name="Imagem 3" descr="C:\Users\Juridico\AppData\Local\Microsoft\Windows\INetCache\Content.Word\Brasã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ridico\AppData\Local\Microsoft\Windows\INetCache\Content.Word\Brasão 2.jpg"/>
                  <pic:cNvPicPr>
                    <a:picLocks noChangeAspect="1" noChangeArrowheads="1"/>
                  </pic:cNvPicPr>
                </pic:nvPicPr>
                <pic:blipFill>
                  <a:blip r:embed="rId1"/>
                  <a:srcRect/>
                  <a:stretch>
                    <a:fillRect/>
                  </a:stretch>
                </pic:blipFill>
                <pic:spPr bwMode="auto">
                  <a:xfrm>
                    <a:off x="0" y="0"/>
                    <a:ext cx="4248150" cy="781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D3C8B"/>
    <w:multiLevelType w:val="multilevel"/>
    <w:tmpl w:val="6D282E02"/>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hyphenationZone w:val="425"/>
  <w:characterSpacingControl w:val="doNotCompress"/>
  <w:footnotePr>
    <w:footnote w:id="0"/>
    <w:footnote w:id="1"/>
  </w:footnotePr>
  <w:endnotePr>
    <w:endnote w:id="0"/>
    <w:endnote w:id="1"/>
  </w:endnotePr>
  <w:compat/>
  <w:rsids>
    <w:rsidRoot w:val="00B365A3"/>
    <w:rsid w:val="000152A1"/>
    <w:rsid w:val="00032713"/>
    <w:rsid w:val="00036BC1"/>
    <w:rsid w:val="00061F92"/>
    <w:rsid w:val="000714D3"/>
    <w:rsid w:val="0007540A"/>
    <w:rsid w:val="000831D8"/>
    <w:rsid w:val="000A6090"/>
    <w:rsid w:val="000B20A4"/>
    <w:rsid w:val="000C4C41"/>
    <w:rsid w:val="00110DB4"/>
    <w:rsid w:val="001144C0"/>
    <w:rsid w:val="00125B21"/>
    <w:rsid w:val="001318B9"/>
    <w:rsid w:val="00153040"/>
    <w:rsid w:val="00173378"/>
    <w:rsid w:val="0017380F"/>
    <w:rsid w:val="00187272"/>
    <w:rsid w:val="0019463F"/>
    <w:rsid w:val="001E1670"/>
    <w:rsid w:val="001E7294"/>
    <w:rsid w:val="001F5FE9"/>
    <w:rsid w:val="001F6BDB"/>
    <w:rsid w:val="0022243F"/>
    <w:rsid w:val="00236138"/>
    <w:rsid w:val="00252BFB"/>
    <w:rsid w:val="00261C23"/>
    <w:rsid w:val="00271AF9"/>
    <w:rsid w:val="00281368"/>
    <w:rsid w:val="00296F1C"/>
    <w:rsid w:val="002A223B"/>
    <w:rsid w:val="002E3AC7"/>
    <w:rsid w:val="002E5406"/>
    <w:rsid w:val="003075CB"/>
    <w:rsid w:val="00326300"/>
    <w:rsid w:val="0034665D"/>
    <w:rsid w:val="00351CD9"/>
    <w:rsid w:val="003617F4"/>
    <w:rsid w:val="00363010"/>
    <w:rsid w:val="003735A6"/>
    <w:rsid w:val="003A29D1"/>
    <w:rsid w:val="003A41E5"/>
    <w:rsid w:val="003B6B5E"/>
    <w:rsid w:val="003D00DB"/>
    <w:rsid w:val="003D23BE"/>
    <w:rsid w:val="003D42FE"/>
    <w:rsid w:val="0041616C"/>
    <w:rsid w:val="004519C5"/>
    <w:rsid w:val="00477A2A"/>
    <w:rsid w:val="004A219B"/>
    <w:rsid w:val="004A5863"/>
    <w:rsid w:val="004C4AFC"/>
    <w:rsid w:val="004E1184"/>
    <w:rsid w:val="004E7DEA"/>
    <w:rsid w:val="00501B65"/>
    <w:rsid w:val="005265B3"/>
    <w:rsid w:val="00546B56"/>
    <w:rsid w:val="005855EA"/>
    <w:rsid w:val="005B4778"/>
    <w:rsid w:val="005E038B"/>
    <w:rsid w:val="005E2917"/>
    <w:rsid w:val="006020BE"/>
    <w:rsid w:val="00613020"/>
    <w:rsid w:val="00641938"/>
    <w:rsid w:val="006504A8"/>
    <w:rsid w:val="00653047"/>
    <w:rsid w:val="006559CF"/>
    <w:rsid w:val="006626F6"/>
    <w:rsid w:val="00666A46"/>
    <w:rsid w:val="00670572"/>
    <w:rsid w:val="006767F1"/>
    <w:rsid w:val="006849F8"/>
    <w:rsid w:val="006E3ED0"/>
    <w:rsid w:val="00707233"/>
    <w:rsid w:val="00710521"/>
    <w:rsid w:val="00720AC8"/>
    <w:rsid w:val="007534D1"/>
    <w:rsid w:val="00764EB5"/>
    <w:rsid w:val="00775833"/>
    <w:rsid w:val="0078109A"/>
    <w:rsid w:val="007839C1"/>
    <w:rsid w:val="007854E6"/>
    <w:rsid w:val="007925BB"/>
    <w:rsid w:val="00794F5F"/>
    <w:rsid w:val="007A32E8"/>
    <w:rsid w:val="007A5BD4"/>
    <w:rsid w:val="007C5EC4"/>
    <w:rsid w:val="007C77D8"/>
    <w:rsid w:val="007D2488"/>
    <w:rsid w:val="007D5C08"/>
    <w:rsid w:val="0080131F"/>
    <w:rsid w:val="00805DAF"/>
    <w:rsid w:val="00811016"/>
    <w:rsid w:val="008118AC"/>
    <w:rsid w:val="008138B2"/>
    <w:rsid w:val="008165C9"/>
    <w:rsid w:val="00820BFB"/>
    <w:rsid w:val="00840C25"/>
    <w:rsid w:val="008426D4"/>
    <w:rsid w:val="00847C81"/>
    <w:rsid w:val="0086209F"/>
    <w:rsid w:val="00872680"/>
    <w:rsid w:val="00874348"/>
    <w:rsid w:val="00877381"/>
    <w:rsid w:val="00890D5F"/>
    <w:rsid w:val="008A02A8"/>
    <w:rsid w:val="008C51DD"/>
    <w:rsid w:val="008C5859"/>
    <w:rsid w:val="008D00DC"/>
    <w:rsid w:val="008D3901"/>
    <w:rsid w:val="008E4C4D"/>
    <w:rsid w:val="00905B60"/>
    <w:rsid w:val="00922568"/>
    <w:rsid w:val="009262A4"/>
    <w:rsid w:val="00934C1D"/>
    <w:rsid w:val="00940D9E"/>
    <w:rsid w:val="00945051"/>
    <w:rsid w:val="00965DF3"/>
    <w:rsid w:val="009677B1"/>
    <w:rsid w:val="009735FD"/>
    <w:rsid w:val="00973708"/>
    <w:rsid w:val="009762CB"/>
    <w:rsid w:val="009A1232"/>
    <w:rsid w:val="009A165D"/>
    <w:rsid w:val="009B7D3B"/>
    <w:rsid w:val="009C1917"/>
    <w:rsid w:val="009E03A3"/>
    <w:rsid w:val="009F2939"/>
    <w:rsid w:val="00A0412A"/>
    <w:rsid w:val="00A16B48"/>
    <w:rsid w:val="00A21D90"/>
    <w:rsid w:val="00A51F98"/>
    <w:rsid w:val="00A65EA9"/>
    <w:rsid w:val="00A67245"/>
    <w:rsid w:val="00A71831"/>
    <w:rsid w:val="00A758A7"/>
    <w:rsid w:val="00A77DF1"/>
    <w:rsid w:val="00A808BC"/>
    <w:rsid w:val="00A91A8F"/>
    <w:rsid w:val="00AB429E"/>
    <w:rsid w:val="00AB6A12"/>
    <w:rsid w:val="00AE6B74"/>
    <w:rsid w:val="00AF6E8B"/>
    <w:rsid w:val="00B135E4"/>
    <w:rsid w:val="00B27E31"/>
    <w:rsid w:val="00B365A3"/>
    <w:rsid w:val="00B44BC1"/>
    <w:rsid w:val="00B53B25"/>
    <w:rsid w:val="00B56946"/>
    <w:rsid w:val="00BE1B45"/>
    <w:rsid w:val="00C00957"/>
    <w:rsid w:val="00C12338"/>
    <w:rsid w:val="00C32837"/>
    <w:rsid w:val="00C702E7"/>
    <w:rsid w:val="00C7445E"/>
    <w:rsid w:val="00C82596"/>
    <w:rsid w:val="00C918AF"/>
    <w:rsid w:val="00CA0464"/>
    <w:rsid w:val="00CA322E"/>
    <w:rsid w:val="00CD0562"/>
    <w:rsid w:val="00CF27FE"/>
    <w:rsid w:val="00CF7F57"/>
    <w:rsid w:val="00D03213"/>
    <w:rsid w:val="00D112C0"/>
    <w:rsid w:val="00D22612"/>
    <w:rsid w:val="00D22B12"/>
    <w:rsid w:val="00D45373"/>
    <w:rsid w:val="00D52C41"/>
    <w:rsid w:val="00D6756B"/>
    <w:rsid w:val="00DA7A73"/>
    <w:rsid w:val="00DC0230"/>
    <w:rsid w:val="00DC0FFE"/>
    <w:rsid w:val="00DC21F6"/>
    <w:rsid w:val="00DD2CC1"/>
    <w:rsid w:val="00DD6925"/>
    <w:rsid w:val="00DE1DE0"/>
    <w:rsid w:val="00DE60C6"/>
    <w:rsid w:val="00E06C84"/>
    <w:rsid w:val="00E20FC7"/>
    <w:rsid w:val="00E501C1"/>
    <w:rsid w:val="00E5368A"/>
    <w:rsid w:val="00E64912"/>
    <w:rsid w:val="00E64A46"/>
    <w:rsid w:val="00E717A7"/>
    <w:rsid w:val="00E725AB"/>
    <w:rsid w:val="00E745DA"/>
    <w:rsid w:val="00E92DF1"/>
    <w:rsid w:val="00EB189D"/>
    <w:rsid w:val="00EB42B2"/>
    <w:rsid w:val="00EB67E3"/>
    <w:rsid w:val="00EC035D"/>
    <w:rsid w:val="00EC5747"/>
    <w:rsid w:val="00ED6749"/>
    <w:rsid w:val="00EF3796"/>
    <w:rsid w:val="00EF3F9F"/>
    <w:rsid w:val="00F12815"/>
    <w:rsid w:val="00F36493"/>
    <w:rsid w:val="00F6334E"/>
    <w:rsid w:val="00F6465F"/>
    <w:rsid w:val="00F85172"/>
    <w:rsid w:val="00F87BF5"/>
    <w:rsid w:val="00F92D4B"/>
    <w:rsid w:val="00F93C21"/>
    <w:rsid w:val="00F94625"/>
    <w:rsid w:val="00FA2E34"/>
    <w:rsid w:val="00FB5D3A"/>
    <w:rsid w:val="00FC2476"/>
    <w:rsid w:val="00FC5C58"/>
    <w:rsid w:val="00FC694D"/>
    <w:rsid w:val="00FC78D1"/>
    <w:rsid w:val="00FC7A41"/>
    <w:rsid w:val="00FD3A5D"/>
    <w:rsid w:val="00FF3AFF"/>
    <w:rsid w:val="00FF7B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6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365A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365A3"/>
  </w:style>
  <w:style w:type="paragraph" w:styleId="Rodap">
    <w:name w:val="footer"/>
    <w:basedOn w:val="Normal"/>
    <w:link w:val="RodapChar"/>
    <w:uiPriority w:val="99"/>
    <w:semiHidden/>
    <w:unhideWhenUsed/>
    <w:rsid w:val="00B365A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365A3"/>
  </w:style>
  <w:style w:type="paragraph" w:styleId="Textodebalo">
    <w:name w:val="Balloon Text"/>
    <w:basedOn w:val="Normal"/>
    <w:link w:val="TextodebaloChar"/>
    <w:uiPriority w:val="99"/>
    <w:semiHidden/>
    <w:unhideWhenUsed/>
    <w:rsid w:val="00B365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65A3"/>
    <w:rPr>
      <w:rFonts w:ascii="Tahoma" w:hAnsi="Tahoma" w:cs="Tahoma"/>
      <w:sz w:val="16"/>
      <w:szCs w:val="16"/>
    </w:rPr>
  </w:style>
  <w:style w:type="paragraph" w:styleId="PargrafodaLista">
    <w:name w:val="List Paragraph"/>
    <w:basedOn w:val="Normal"/>
    <w:uiPriority w:val="34"/>
    <w:qFormat/>
    <w:rsid w:val="008138B2"/>
    <w:pPr>
      <w:ind w:left="720"/>
      <w:contextualSpacing/>
    </w:pPr>
  </w:style>
  <w:style w:type="character" w:styleId="Hyperlink">
    <w:name w:val="Hyperlink"/>
    <w:basedOn w:val="Fontepargpadro"/>
    <w:uiPriority w:val="99"/>
    <w:unhideWhenUsed/>
    <w:rsid w:val="00E5368A"/>
    <w:rPr>
      <w:color w:val="0000FF" w:themeColor="hyperlink"/>
      <w:u w:val="single"/>
    </w:rPr>
  </w:style>
  <w:style w:type="paragraph" w:styleId="NormalWeb">
    <w:name w:val="Normal (Web)"/>
    <w:basedOn w:val="Normal"/>
    <w:uiPriority w:val="99"/>
    <w:semiHidden/>
    <w:unhideWhenUsed/>
    <w:rsid w:val="002813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abel">
    <w:name w:val="label"/>
    <w:basedOn w:val="Fontepargpadro"/>
    <w:rsid w:val="00D6756B"/>
  </w:style>
</w:styles>
</file>

<file path=word/webSettings.xml><?xml version="1.0" encoding="utf-8"?>
<w:webSettings xmlns:r="http://schemas.openxmlformats.org/officeDocument/2006/relationships" xmlns:w="http://schemas.openxmlformats.org/wordprocessingml/2006/main">
  <w:divs>
    <w:div w:id="1489979724">
      <w:bodyDiv w:val="1"/>
      <w:marLeft w:val="0"/>
      <w:marRight w:val="0"/>
      <w:marTop w:val="0"/>
      <w:marBottom w:val="0"/>
      <w:divBdr>
        <w:top w:val="none" w:sz="0" w:space="0" w:color="auto"/>
        <w:left w:val="none" w:sz="0" w:space="0" w:color="auto"/>
        <w:bottom w:val="none" w:sz="0" w:space="0" w:color="auto"/>
        <w:right w:val="none" w:sz="0" w:space="0" w:color="auto"/>
      </w:divBdr>
    </w:div>
    <w:div w:id="16643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9239B-925B-45B3-A375-BB9FC8E8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1312</Words>
  <Characters>7087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Gustavo</cp:lastModifiedBy>
  <cp:revision>16</cp:revision>
  <cp:lastPrinted>2017-10-06T20:25:00Z</cp:lastPrinted>
  <dcterms:created xsi:type="dcterms:W3CDTF">2021-09-23T16:11:00Z</dcterms:created>
  <dcterms:modified xsi:type="dcterms:W3CDTF">2021-10-19T18:57:00Z</dcterms:modified>
</cp:coreProperties>
</file>