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9F" w:rsidRPr="00522048" w:rsidRDefault="00E72CC4" w:rsidP="00BC4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center"/>
        <w:rPr>
          <w:rFonts w:ascii="Palatino Linotype" w:hAnsi="Palatino Linotype"/>
          <w:b/>
          <w:sz w:val="25"/>
          <w:szCs w:val="25"/>
        </w:rPr>
      </w:pPr>
      <w:r w:rsidRPr="00522048">
        <w:rPr>
          <w:rFonts w:ascii="Palatino Linotype" w:hAnsi="Palatino Linotype"/>
          <w:b/>
          <w:sz w:val="25"/>
          <w:szCs w:val="25"/>
        </w:rPr>
        <w:t xml:space="preserve">PARECER JURÍDICO Nº </w:t>
      </w:r>
      <w:r w:rsidR="00522048">
        <w:rPr>
          <w:rFonts w:ascii="Palatino Linotype" w:hAnsi="Palatino Linotype"/>
          <w:b/>
          <w:sz w:val="25"/>
          <w:szCs w:val="25"/>
        </w:rPr>
        <w:t>347/</w:t>
      </w:r>
      <w:r w:rsidRPr="00522048">
        <w:rPr>
          <w:rFonts w:ascii="Palatino Linotype" w:hAnsi="Palatino Linotype"/>
          <w:b/>
          <w:sz w:val="25"/>
          <w:szCs w:val="25"/>
        </w:rPr>
        <w:t>20</w:t>
      </w:r>
      <w:r w:rsidR="002C0191" w:rsidRPr="00522048">
        <w:rPr>
          <w:rFonts w:ascii="Palatino Linotype" w:hAnsi="Palatino Linotype"/>
          <w:b/>
          <w:sz w:val="25"/>
          <w:szCs w:val="25"/>
        </w:rPr>
        <w:t>2</w:t>
      </w:r>
      <w:r w:rsidRPr="00522048">
        <w:rPr>
          <w:rFonts w:ascii="Palatino Linotype" w:hAnsi="Palatino Linotype"/>
          <w:b/>
          <w:sz w:val="25"/>
          <w:szCs w:val="25"/>
        </w:rPr>
        <w:t>1</w:t>
      </w:r>
    </w:p>
    <w:p w:rsidR="00E21F0A" w:rsidRPr="00522048" w:rsidRDefault="00E21F0A" w:rsidP="00266DEF">
      <w:pPr>
        <w:spacing w:after="0" w:line="36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8138B2" w:rsidRPr="00522048" w:rsidRDefault="00F85172" w:rsidP="00266DE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/>
          <w:b/>
          <w:sz w:val="24"/>
          <w:szCs w:val="24"/>
        </w:rPr>
      </w:pPr>
      <w:r w:rsidRPr="00522048">
        <w:rPr>
          <w:rFonts w:ascii="Palatino Linotype" w:hAnsi="Palatino Linotype"/>
          <w:b/>
          <w:sz w:val="24"/>
          <w:szCs w:val="24"/>
        </w:rPr>
        <w:t>RELATÓRIO</w:t>
      </w:r>
    </w:p>
    <w:p w:rsidR="008138B2" w:rsidRPr="00522048" w:rsidRDefault="008138B2" w:rsidP="00266DEF">
      <w:pPr>
        <w:spacing w:after="0" w:line="36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BC44BA" w:rsidRPr="00522048" w:rsidRDefault="009E03A3" w:rsidP="00BC44BA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522048">
        <w:rPr>
          <w:rFonts w:ascii="Palatino Linotype" w:hAnsi="Palatino Linotype"/>
          <w:sz w:val="24"/>
          <w:szCs w:val="24"/>
        </w:rPr>
        <w:t xml:space="preserve">O </w:t>
      </w:r>
      <w:r w:rsidR="00000830" w:rsidRPr="00522048">
        <w:rPr>
          <w:rFonts w:ascii="Palatino Linotype" w:hAnsi="Palatino Linotype"/>
          <w:sz w:val="24"/>
          <w:szCs w:val="24"/>
        </w:rPr>
        <w:t xml:space="preserve">Poder </w:t>
      </w:r>
      <w:r w:rsidRPr="00522048">
        <w:rPr>
          <w:rFonts w:ascii="Palatino Linotype" w:hAnsi="Palatino Linotype"/>
          <w:sz w:val="24"/>
          <w:szCs w:val="24"/>
        </w:rPr>
        <w:t xml:space="preserve">Executivo Municipal apresentou o Projeto de Lei nº </w:t>
      </w:r>
      <w:r w:rsidR="00A44AFE" w:rsidRPr="00522048">
        <w:rPr>
          <w:rFonts w:ascii="Palatino Linotype" w:hAnsi="Palatino Linotype"/>
          <w:sz w:val="24"/>
          <w:szCs w:val="24"/>
        </w:rPr>
        <w:t>0</w:t>
      </w:r>
      <w:r w:rsidR="00383D64" w:rsidRPr="00522048">
        <w:rPr>
          <w:rFonts w:ascii="Palatino Linotype" w:hAnsi="Palatino Linotype"/>
          <w:sz w:val="24"/>
          <w:szCs w:val="24"/>
        </w:rPr>
        <w:t>56</w:t>
      </w:r>
      <w:r w:rsidRPr="00522048">
        <w:rPr>
          <w:rFonts w:ascii="Palatino Linotype" w:hAnsi="Palatino Linotype"/>
          <w:sz w:val="24"/>
          <w:szCs w:val="24"/>
        </w:rPr>
        <w:t>/</w:t>
      </w:r>
      <w:r w:rsidR="002C0191" w:rsidRPr="00522048">
        <w:rPr>
          <w:rFonts w:ascii="Palatino Linotype" w:hAnsi="Palatino Linotype"/>
          <w:sz w:val="24"/>
          <w:szCs w:val="24"/>
        </w:rPr>
        <w:t>2021</w:t>
      </w:r>
      <w:r w:rsidRPr="00522048">
        <w:rPr>
          <w:rFonts w:ascii="Palatino Linotype" w:hAnsi="Palatino Linotype"/>
          <w:sz w:val="24"/>
          <w:szCs w:val="24"/>
        </w:rPr>
        <w:t xml:space="preserve"> à Câmara Municipal</w:t>
      </w:r>
      <w:r w:rsidR="008138B2" w:rsidRPr="00522048">
        <w:rPr>
          <w:rFonts w:ascii="Palatino Linotype" w:hAnsi="Palatino Linotype"/>
          <w:sz w:val="24"/>
          <w:szCs w:val="24"/>
        </w:rPr>
        <w:t>,</w:t>
      </w:r>
      <w:r w:rsidR="00A44AFE" w:rsidRPr="00522048">
        <w:rPr>
          <w:rFonts w:ascii="Palatino Linotype" w:hAnsi="Palatino Linotype"/>
          <w:sz w:val="24"/>
          <w:szCs w:val="24"/>
        </w:rPr>
        <w:t xml:space="preserve"> </w:t>
      </w:r>
      <w:r w:rsidR="00BC44BA" w:rsidRPr="00522048">
        <w:rPr>
          <w:rFonts w:ascii="Palatino Linotype" w:hAnsi="Palatino Linotype"/>
          <w:sz w:val="24"/>
          <w:szCs w:val="24"/>
        </w:rPr>
        <w:t xml:space="preserve">o </w:t>
      </w:r>
      <w:r w:rsidR="000D682E" w:rsidRPr="00522048">
        <w:rPr>
          <w:rFonts w:ascii="Palatino Linotype" w:hAnsi="Palatino Linotype"/>
          <w:sz w:val="24"/>
          <w:szCs w:val="24"/>
        </w:rPr>
        <w:t>qu</w:t>
      </w:r>
      <w:r w:rsidR="00BC44BA" w:rsidRPr="00522048">
        <w:rPr>
          <w:rFonts w:ascii="Palatino Linotype" w:hAnsi="Palatino Linotype"/>
          <w:sz w:val="24"/>
          <w:szCs w:val="24"/>
        </w:rPr>
        <w:t>al</w:t>
      </w:r>
      <w:r w:rsidR="000D682E" w:rsidRPr="00522048">
        <w:rPr>
          <w:rFonts w:ascii="Palatino Linotype" w:hAnsi="Palatino Linotype"/>
          <w:sz w:val="24"/>
          <w:szCs w:val="24"/>
        </w:rPr>
        <w:t xml:space="preserve"> </w:t>
      </w:r>
      <w:r w:rsidR="00383D64" w:rsidRPr="00522048">
        <w:rPr>
          <w:rFonts w:ascii="Palatino Linotype" w:hAnsi="Palatino Linotype"/>
          <w:sz w:val="24"/>
          <w:szCs w:val="24"/>
        </w:rPr>
        <w:t>“Altera a Lei Municipal n° 4066, de 09 de nove</w:t>
      </w:r>
      <w:r w:rsidR="00383D64" w:rsidRPr="00522048">
        <w:rPr>
          <w:rFonts w:ascii="Palatino Linotype" w:hAnsi="Palatino Linotype"/>
          <w:sz w:val="24"/>
          <w:szCs w:val="24"/>
        </w:rPr>
        <w:t>m</w:t>
      </w:r>
      <w:r w:rsidR="00383D64" w:rsidRPr="00522048">
        <w:rPr>
          <w:rFonts w:ascii="Palatino Linotype" w:hAnsi="Palatino Linotype"/>
          <w:sz w:val="24"/>
          <w:szCs w:val="24"/>
        </w:rPr>
        <w:t>bro de 2021”</w:t>
      </w:r>
      <w:r w:rsidR="00A44AFE" w:rsidRPr="00522048">
        <w:rPr>
          <w:rFonts w:ascii="Palatino Linotype" w:hAnsi="Palatino Linotype"/>
          <w:sz w:val="24"/>
          <w:szCs w:val="24"/>
        </w:rPr>
        <w:t>.</w:t>
      </w:r>
      <w:r w:rsidR="00BC44BA" w:rsidRPr="00522048">
        <w:rPr>
          <w:rFonts w:ascii="Palatino Linotype" w:hAnsi="Palatino Linotype"/>
          <w:sz w:val="24"/>
          <w:szCs w:val="24"/>
        </w:rPr>
        <w:t xml:space="preserve"> A proposta foi encaminhada à Procuradoria para análise com fu</w:t>
      </w:r>
      <w:r w:rsidR="00BC44BA" w:rsidRPr="00522048">
        <w:rPr>
          <w:rFonts w:ascii="Palatino Linotype" w:hAnsi="Palatino Linotype"/>
          <w:sz w:val="24"/>
          <w:szCs w:val="24"/>
        </w:rPr>
        <w:t>l</w:t>
      </w:r>
      <w:r w:rsidR="00BC44BA" w:rsidRPr="00522048">
        <w:rPr>
          <w:rFonts w:ascii="Palatino Linotype" w:hAnsi="Palatino Linotype"/>
          <w:sz w:val="24"/>
          <w:szCs w:val="24"/>
        </w:rPr>
        <w:t>cro no art. 105 do RI, a fim de que seja efetivado o controle da constitucional</w:t>
      </w:r>
      <w:r w:rsidR="00BC44BA" w:rsidRPr="00522048">
        <w:rPr>
          <w:rFonts w:ascii="Palatino Linotype" w:hAnsi="Palatino Linotype"/>
          <w:sz w:val="24"/>
          <w:szCs w:val="24"/>
        </w:rPr>
        <w:t>i</w:t>
      </w:r>
      <w:r w:rsidR="00BC44BA" w:rsidRPr="00522048">
        <w:rPr>
          <w:rFonts w:ascii="Palatino Linotype" w:hAnsi="Palatino Linotype"/>
          <w:sz w:val="24"/>
          <w:szCs w:val="24"/>
        </w:rPr>
        <w:t>dade, da competência e do car</w:t>
      </w:r>
      <w:r w:rsidR="00BC44BA" w:rsidRPr="00522048">
        <w:rPr>
          <w:rFonts w:ascii="Palatino Linotype" w:hAnsi="Palatino Linotype"/>
          <w:sz w:val="24"/>
          <w:szCs w:val="24"/>
        </w:rPr>
        <w:t>á</w:t>
      </w:r>
      <w:r w:rsidR="00BC44BA" w:rsidRPr="00522048">
        <w:rPr>
          <w:rFonts w:ascii="Palatino Linotype" w:hAnsi="Palatino Linotype"/>
          <w:sz w:val="24"/>
          <w:szCs w:val="24"/>
        </w:rPr>
        <w:t>ter pessoal da proposição.</w:t>
      </w:r>
    </w:p>
    <w:p w:rsidR="00EE0B4C" w:rsidRPr="00522048" w:rsidRDefault="00EE0B4C" w:rsidP="00BC44BA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</w:p>
    <w:p w:rsidR="00EE0B4C" w:rsidRPr="00522048" w:rsidRDefault="00EE0B4C" w:rsidP="00BC44BA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522048">
        <w:rPr>
          <w:rFonts w:ascii="Palatino Linotype" w:hAnsi="Palatino Linotype"/>
          <w:sz w:val="24"/>
          <w:szCs w:val="24"/>
        </w:rPr>
        <w:t xml:space="preserve">Na </w:t>
      </w:r>
      <w:r w:rsidR="00416177" w:rsidRPr="00522048">
        <w:rPr>
          <w:rFonts w:ascii="Palatino Linotype" w:hAnsi="Palatino Linotype"/>
          <w:sz w:val="24"/>
          <w:szCs w:val="24"/>
        </w:rPr>
        <w:t>Exposição de Motivos</w:t>
      </w:r>
      <w:r w:rsidRPr="00522048">
        <w:rPr>
          <w:rFonts w:ascii="Palatino Linotype" w:hAnsi="Palatino Linotype"/>
          <w:sz w:val="24"/>
          <w:szCs w:val="24"/>
        </w:rPr>
        <w:t xml:space="preserve"> encaminhada pelo Poder Executivo ao P</w:t>
      </w:r>
      <w:r w:rsidRPr="00522048">
        <w:rPr>
          <w:rFonts w:ascii="Palatino Linotype" w:hAnsi="Palatino Linotype"/>
          <w:sz w:val="24"/>
          <w:szCs w:val="24"/>
        </w:rPr>
        <w:t>o</w:t>
      </w:r>
      <w:r w:rsidRPr="00522048">
        <w:rPr>
          <w:rFonts w:ascii="Palatino Linotype" w:hAnsi="Palatino Linotype"/>
          <w:sz w:val="24"/>
          <w:szCs w:val="24"/>
        </w:rPr>
        <w:t>der L</w:t>
      </w:r>
      <w:r w:rsidRPr="00522048">
        <w:rPr>
          <w:rFonts w:ascii="Palatino Linotype" w:hAnsi="Palatino Linotype"/>
          <w:sz w:val="24"/>
          <w:szCs w:val="24"/>
        </w:rPr>
        <w:t>e</w:t>
      </w:r>
      <w:r w:rsidRPr="00522048">
        <w:rPr>
          <w:rFonts w:ascii="Palatino Linotype" w:hAnsi="Palatino Linotype"/>
          <w:sz w:val="24"/>
          <w:szCs w:val="24"/>
        </w:rPr>
        <w:t>gislativo, o proponente expõe os motivos do projeto, aduzindo que</w:t>
      </w:r>
      <w:r w:rsidR="00383D64" w:rsidRPr="00522048">
        <w:rPr>
          <w:rFonts w:ascii="Palatino Linotype" w:hAnsi="Palatino Linotype"/>
          <w:sz w:val="24"/>
          <w:szCs w:val="24"/>
        </w:rPr>
        <w:t xml:space="preserve"> houve alteração das normativas para fins de garantia junto à União, sendo necessária a pretendida </w:t>
      </w:r>
      <w:r w:rsidR="00383D64" w:rsidRPr="00522048">
        <w:rPr>
          <w:rFonts w:ascii="Palatino Linotype" w:hAnsi="Palatino Linotype"/>
          <w:sz w:val="24"/>
          <w:szCs w:val="24"/>
        </w:rPr>
        <w:t>a</w:t>
      </w:r>
      <w:r w:rsidR="00383D64" w:rsidRPr="00522048">
        <w:rPr>
          <w:rFonts w:ascii="Palatino Linotype" w:hAnsi="Palatino Linotype"/>
          <w:sz w:val="24"/>
          <w:szCs w:val="24"/>
        </w:rPr>
        <w:t>dequação através da presente propositura legislativa</w:t>
      </w:r>
      <w:r w:rsidR="00B92A8E" w:rsidRPr="00522048">
        <w:rPr>
          <w:rFonts w:ascii="Palatino Linotype" w:hAnsi="Palatino Linotype"/>
          <w:sz w:val="24"/>
          <w:szCs w:val="24"/>
        </w:rPr>
        <w:t xml:space="preserve"> para que seja alterada a Lei M</w:t>
      </w:r>
      <w:r w:rsidR="00B92A8E" w:rsidRPr="00522048">
        <w:rPr>
          <w:rFonts w:ascii="Palatino Linotype" w:hAnsi="Palatino Linotype"/>
          <w:sz w:val="24"/>
          <w:szCs w:val="24"/>
        </w:rPr>
        <w:t>u</w:t>
      </w:r>
      <w:r w:rsidR="00B92A8E" w:rsidRPr="00522048">
        <w:rPr>
          <w:rFonts w:ascii="Palatino Linotype" w:hAnsi="Palatino Linotype"/>
          <w:sz w:val="24"/>
          <w:szCs w:val="24"/>
        </w:rPr>
        <w:t>nicipal nº 4.066</w:t>
      </w:r>
      <w:r w:rsidR="005014F1" w:rsidRPr="00522048">
        <w:rPr>
          <w:rFonts w:ascii="Palatino Linotype" w:hAnsi="Palatino Linotype"/>
          <w:sz w:val="24"/>
          <w:szCs w:val="24"/>
        </w:rPr>
        <w:t xml:space="preserve">, de 09 de novembro de </w:t>
      </w:r>
      <w:r w:rsidR="00B92A8E" w:rsidRPr="00522048">
        <w:rPr>
          <w:rFonts w:ascii="Palatino Linotype" w:hAnsi="Palatino Linotype"/>
          <w:sz w:val="24"/>
          <w:szCs w:val="24"/>
        </w:rPr>
        <w:t>2021</w:t>
      </w:r>
      <w:r w:rsidR="005014F1" w:rsidRPr="00522048">
        <w:rPr>
          <w:rFonts w:ascii="Palatino Linotype" w:hAnsi="Palatino Linotype"/>
          <w:sz w:val="24"/>
          <w:szCs w:val="24"/>
        </w:rPr>
        <w:t>, a qual “Autoriza o Poder Executivo M</w:t>
      </w:r>
      <w:r w:rsidR="005014F1" w:rsidRPr="00522048">
        <w:rPr>
          <w:rFonts w:ascii="Palatino Linotype" w:hAnsi="Palatino Linotype"/>
          <w:sz w:val="24"/>
          <w:szCs w:val="24"/>
        </w:rPr>
        <w:t>u</w:t>
      </w:r>
      <w:r w:rsidR="005014F1" w:rsidRPr="00522048">
        <w:rPr>
          <w:rFonts w:ascii="Palatino Linotype" w:hAnsi="Palatino Linotype"/>
          <w:sz w:val="24"/>
          <w:szCs w:val="24"/>
        </w:rPr>
        <w:t>nicipal a contratar financiamento na linha de crédito de Financiamento à Infraestrutura e ao Saneamento – FINISA, junto à Caixa Ec</w:t>
      </w:r>
      <w:r w:rsidR="005014F1" w:rsidRPr="00522048">
        <w:rPr>
          <w:rFonts w:ascii="Palatino Linotype" w:hAnsi="Palatino Linotype"/>
          <w:sz w:val="24"/>
          <w:szCs w:val="24"/>
        </w:rPr>
        <w:t>o</w:t>
      </w:r>
      <w:r w:rsidR="005014F1" w:rsidRPr="00522048">
        <w:rPr>
          <w:rFonts w:ascii="Palatino Linotype" w:hAnsi="Palatino Linotype"/>
          <w:sz w:val="24"/>
          <w:szCs w:val="24"/>
        </w:rPr>
        <w:t>nômica Federal, a oferecer garantia à Un</w:t>
      </w:r>
      <w:r w:rsidR="005014F1" w:rsidRPr="00522048">
        <w:rPr>
          <w:rFonts w:ascii="Palatino Linotype" w:hAnsi="Palatino Linotype"/>
          <w:sz w:val="24"/>
          <w:szCs w:val="24"/>
        </w:rPr>
        <w:t>i</w:t>
      </w:r>
      <w:r w:rsidR="005014F1" w:rsidRPr="00522048">
        <w:rPr>
          <w:rFonts w:ascii="Palatino Linotype" w:hAnsi="Palatino Linotype"/>
          <w:sz w:val="24"/>
          <w:szCs w:val="24"/>
        </w:rPr>
        <w:t>ão e dá outras providências”.</w:t>
      </w:r>
      <w:r w:rsidRPr="00522048">
        <w:rPr>
          <w:rFonts w:ascii="Palatino Linotype" w:hAnsi="Palatino Linotype"/>
          <w:sz w:val="24"/>
          <w:szCs w:val="24"/>
        </w:rPr>
        <w:t xml:space="preserve"> </w:t>
      </w:r>
    </w:p>
    <w:p w:rsidR="0055539F" w:rsidRPr="00522048" w:rsidRDefault="0055539F" w:rsidP="00266DEF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</w:p>
    <w:p w:rsidR="008138B2" w:rsidRPr="00522048" w:rsidRDefault="0055539F" w:rsidP="00266DE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/>
          <w:b/>
          <w:sz w:val="24"/>
          <w:szCs w:val="24"/>
        </w:rPr>
      </w:pPr>
      <w:r w:rsidRPr="00522048">
        <w:rPr>
          <w:rFonts w:ascii="Palatino Linotype" w:hAnsi="Palatino Linotype"/>
          <w:b/>
          <w:sz w:val="24"/>
          <w:szCs w:val="24"/>
        </w:rPr>
        <w:t>MÉRITO</w:t>
      </w:r>
    </w:p>
    <w:p w:rsidR="008138B2" w:rsidRPr="00522048" w:rsidRDefault="008138B2" w:rsidP="00266DEF">
      <w:pPr>
        <w:spacing w:after="0" w:line="36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BF2F3D" w:rsidRPr="00522048" w:rsidRDefault="00266DEF" w:rsidP="00266DEF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522048">
        <w:rPr>
          <w:rFonts w:ascii="Palatino Linotype" w:hAnsi="Palatino Linotype"/>
          <w:sz w:val="24"/>
          <w:szCs w:val="24"/>
        </w:rPr>
        <w:t>Preliminarmente</w:t>
      </w:r>
      <w:r w:rsidR="00A91A8F" w:rsidRPr="00522048">
        <w:rPr>
          <w:rFonts w:ascii="Palatino Linotype" w:hAnsi="Palatino Linotype"/>
          <w:sz w:val="24"/>
          <w:szCs w:val="24"/>
        </w:rPr>
        <w:t>, quanto à iniciativa para deflagrar o processo legi</w:t>
      </w:r>
      <w:r w:rsidR="00A91A8F" w:rsidRPr="00522048">
        <w:rPr>
          <w:rFonts w:ascii="Palatino Linotype" w:hAnsi="Palatino Linotype"/>
          <w:sz w:val="24"/>
          <w:szCs w:val="24"/>
        </w:rPr>
        <w:t>s</w:t>
      </w:r>
      <w:r w:rsidR="00A91A8F" w:rsidRPr="00522048">
        <w:rPr>
          <w:rFonts w:ascii="Palatino Linotype" w:hAnsi="Palatino Linotype"/>
          <w:sz w:val="24"/>
          <w:szCs w:val="24"/>
        </w:rPr>
        <w:t xml:space="preserve">lativo, a Constituição Federal de 1988 estabelece, no artigo </w:t>
      </w:r>
      <w:r w:rsidR="00F527F9" w:rsidRPr="00522048">
        <w:rPr>
          <w:rFonts w:ascii="Palatino Linotype" w:hAnsi="Palatino Linotype"/>
          <w:sz w:val="24"/>
          <w:szCs w:val="24"/>
        </w:rPr>
        <w:t>30</w:t>
      </w:r>
      <w:r w:rsidR="00A91A8F" w:rsidRPr="00522048">
        <w:rPr>
          <w:rFonts w:ascii="Palatino Linotype" w:hAnsi="Palatino Linotype"/>
          <w:sz w:val="24"/>
          <w:szCs w:val="24"/>
        </w:rPr>
        <w:t>,</w:t>
      </w:r>
      <w:r w:rsidR="00BC44BA" w:rsidRPr="00522048">
        <w:rPr>
          <w:rFonts w:ascii="Palatino Linotype" w:hAnsi="Palatino Linotype"/>
          <w:sz w:val="24"/>
          <w:szCs w:val="24"/>
        </w:rPr>
        <w:t xml:space="preserve"> que</w:t>
      </w:r>
      <w:r w:rsidR="00A91A8F" w:rsidRPr="00522048">
        <w:rPr>
          <w:rFonts w:ascii="Palatino Linotype" w:hAnsi="Palatino Linotype"/>
          <w:sz w:val="24"/>
          <w:szCs w:val="24"/>
        </w:rPr>
        <w:t xml:space="preserve"> </w:t>
      </w:r>
      <w:r w:rsidR="00F527F9" w:rsidRPr="00522048">
        <w:rPr>
          <w:rFonts w:ascii="Palatino Linotype" w:hAnsi="Palatino Linotype"/>
          <w:sz w:val="24"/>
          <w:szCs w:val="24"/>
        </w:rPr>
        <w:t xml:space="preserve">possui </w:t>
      </w:r>
      <w:r w:rsidR="00A91A8F" w:rsidRPr="00522048">
        <w:rPr>
          <w:rFonts w:ascii="Palatino Linotype" w:hAnsi="Palatino Linotype"/>
          <w:sz w:val="24"/>
          <w:szCs w:val="24"/>
        </w:rPr>
        <w:t xml:space="preserve">o </w:t>
      </w:r>
      <w:r w:rsidR="00F527F9" w:rsidRPr="00522048">
        <w:rPr>
          <w:rFonts w:ascii="Palatino Linotype" w:hAnsi="Palatino Linotype"/>
          <w:sz w:val="24"/>
          <w:szCs w:val="24"/>
        </w:rPr>
        <w:t>M</w:t>
      </w:r>
      <w:r w:rsidR="00F527F9" w:rsidRPr="00522048">
        <w:rPr>
          <w:rFonts w:ascii="Palatino Linotype" w:hAnsi="Palatino Linotype"/>
          <w:sz w:val="24"/>
          <w:szCs w:val="24"/>
        </w:rPr>
        <w:t>u</w:t>
      </w:r>
      <w:r w:rsidR="00F527F9" w:rsidRPr="00522048">
        <w:rPr>
          <w:rFonts w:ascii="Palatino Linotype" w:hAnsi="Palatino Linotype"/>
          <w:sz w:val="24"/>
          <w:szCs w:val="24"/>
        </w:rPr>
        <w:t>nicípio</w:t>
      </w:r>
      <w:r w:rsidR="00A91A8F" w:rsidRPr="00522048">
        <w:rPr>
          <w:rFonts w:ascii="Palatino Linotype" w:hAnsi="Palatino Linotype"/>
          <w:sz w:val="24"/>
          <w:szCs w:val="24"/>
        </w:rPr>
        <w:t xml:space="preserve"> a competência </w:t>
      </w:r>
      <w:r w:rsidR="00F527F9" w:rsidRPr="00522048">
        <w:rPr>
          <w:rFonts w:ascii="Palatino Linotype" w:hAnsi="Palatino Linotype"/>
          <w:sz w:val="24"/>
          <w:szCs w:val="24"/>
        </w:rPr>
        <w:t>para legislar sobre assuntos de interesse local e supl</w:t>
      </w:r>
      <w:r w:rsidR="00F527F9" w:rsidRPr="00522048">
        <w:rPr>
          <w:rFonts w:ascii="Palatino Linotype" w:hAnsi="Palatino Linotype"/>
          <w:sz w:val="24"/>
          <w:szCs w:val="24"/>
        </w:rPr>
        <w:t>e</w:t>
      </w:r>
      <w:r w:rsidR="00F527F9" w:rsidRPr="00522048">
        <w:rPr>
          <w:rFonts w:ascii="Palatino Linotype" w:hAnsi="Palatino Linotype"/>
          <w:sz w:val="24"/>
          <w:szCs w:val="24"/>
        </w:rPr>
        <w:t>mentar a legislação f</w:t>
      </w:r>
      <w:r w:rsidR="00F527F9" w:rsidRPr="00522048">
        <w:rPr>
          <w:rFonts w:ascii="Palatino Linotype" w:hAnsi="Palatino Linotype"/>
          <w:sz w:val="24"/>
          <w:szCs w:val="24"/>
        </w:rPr>
        <w:t>e</w:t>
      </w:r>
      <w:r w:rsidR="00F527F9" w:rsidRPr="00522048">
        <w:rPr>
          <w:rFonts w:ascii="Palatino Linotype" w:hAnsi="Palatino Linotype"/>
          <w:sz w:val="24"/>
          <w:szCs w:val="24"/>
        </w:rPr>
        <w:t>deral e a estadual no que couber</w:t>
      </w:r>
      <w:r w:rsidR="00771277" w:rsidRPr="00522048">
        <w:rPr>
          <w:rFonts w:ascii="Palatino Linotype" w:hAnsi="Palatino Linotype"/>
          <w:sz w:val="24"/>
          <w:szCs w:val="24"/>
        </w:rPr>
        <w:t>, além de</w:t>
      </w:r>
      <w:r w:rsidR="00BF2F3D" w:rsidRPr="00522048">
        <w:rPr>
          <w:rFonts w:ascii="Palatino Linotype" w:hAnsi="Palatino Linotype"/>
          <w:sz w:val="24"/>
          <w:szCs w:val="24"/>
        </w:rPr>
        <w:t>:</w:t>
      </w:r>
    </w:p>
    <w:p w:rsidR="00BF2F3D" w:rsidRPr="00522048" w:rsidRDefault="00BF2F3D" w:rsidP="00266DEF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</w:p>
    <w:p w:rsidR="00BF2F3D" w:rsidRPr="00522048" w:rsidRDefault="00BF2F3D" w:rsidP="00A30E3D">
      <w:pPr>
        <w:spacing w:after="0" w:line="240" w:lineRule="auto"/>
        <w:ind w:left="1695" w:firstLine="1134"/>
        <w:jc w:val="both"/>
        <w:rPr>
          <w:rFonts w:ascii="Palatino Linotype" w:hAnsi="Palatino Linotype"/>
        </w:rPr>
      </w:pPr>
      <w:r w:rsidRPr="00522048">
        <w:rPr>
          <w:rFonts w:ascii="Palatino Linotype" w:hAnsi="Palatino Linotype"/>
        </w:rPr>
        <w:t xml:space="preserve">Art. </w:t>
      </w:r>
      <w:r w:rsidR="00F527F9" w:rsidRPr="00522048">
        <w:rPr>
          <w:rFonts w:ascii="Palatino Linotype" w:hAnsi="Palatino Linotype"/>
        </w:rPr>
        <w:t>30</w:t>
      </w:r>
      <w:r w:rsidRPr="00522048">
        <w:rPr>
          <w:rFonts w:ascii="Palatino Linotype" w:hAnsi="Palatino Linotype"/>
        </w:rPr>
        <w:t xml:space="preserve">. </w:t>
      </w:r>
      <w:r w:rsidR="00B91720" w:rsidRPr="00522048">
        <w:rPr>
          <w:rFonts w:ascii="Palatino Linotype" w:hAnsi="Palatino Linotype"/>
        </w:rPr>
        <w:t>Compete aos Municípios:</w:t>
      </w:r>
      <w:r w:rsidRPr="00522048">
        <w:rPr>
          <w:rFonts w:ascii="Palatino Linotype" w:hAnsi="Palatino Linotype"/>
        </w:rPr>
        <w:t xml:space="preserve"> </w:t>
      </w:r>
    </w:p>
    <w:p w:rsidR="00B91720" w:rsidRPr="00522048" w:rsidRDefault="00B91720" w:rsidP="00A30E3D">
      <w:pPr>
        <w:spacing w:after="0" w:line="240" w:lineRule="auto"/>
        <w:ind w:left="1698" w:firstLine="1134"/>
        <w:jc w:val="both"/>
        <w:rPr>
          <w:rFonts w:ascii="Palatino Linotype" w:hAnsi="Palatino Linotype"/>
        </w:rPr>
      </w:pPr>
      <w:r w:rsidRPr="00522048">
        <w:rPr>
          <w:rFonts w:ascii="Palatino Linotype" w:hAnsi="Palatino Linotype"/>
        </w:rPr>
        <w:t xml:space="preserve">I - legislar sobre assuntos de interesse local; </w:t>
      </w:r>
    </w:p>
    <w:p w:rsidR="00BF2F3D" w:rsidRPr="00522048" w:rsidRDefault="00B91720" w:rsidP="00A30E3D">
      <w:pPr>
        <w:spacing w:after="0" w:line="240" w:lineRule="auto"/>
        <w:ind w:left="2832"/>
        <w:jc w:val="both"/>
        <w:rPr>
          <w:rFonts w:ascii="Palatino Linotype" w:hAnsi="Palatino Linotype"/>
        </w:rPr>
      </w:pPr>
      <w:r w:rsidRPr="00522048">
        <w:rPr>
          <w:rFonts w:ascii="Palatino Linotype" w:hAnsi="Palatino Linotype"/>
        </w:rPr>
        <w:lastRenderedPageBreak/>
        <w:t>II - suplementar a legislação federal e a estadual no que couber;</w:t>
      </w:r>
    </w:p>
    <w:p w:rsidR="00B06D5C" w:rsidRPr="00522048" w:rsidRDefault="00B06D5C" w:rsidP="00A30E3D">
      <w:pPr>
        <w:spacing w:after="0" w:line="240" w:lineRule="auto"/>
        <w:ind w:left="2832"/>
        <w:jc w:val="both"/>
        <w:rPr>
          <w:rFonts w:ascii="Palatino Linotype" w:hAnsi="Palatino Linotype"/>
        </w:rPr>
      </w:pPr>
      <w:r w:rsidRPr="00522048">
        <w:rPr>
          <w:rFonts w:ascii="Palatino Linotype" w:hAnsi="Palatino Linotype"/>
        </w:rPr>
        <w:t>III - instituir e arrecadar os tributos de sua competência, bem como aplicar suas rendas, sem prejuízo da obrigat</w:t>
      </w:r>
      <w:r w:rsidRPr="00522048">
        <w:rPr>
          <w:rFonts w:ascii="Palatino Linotype" w:hAnsi="Palatino Linotype"/>
        </w:rPr>
        <w:t>o</w:t>
      </w:r>
      <w:r w:rsidRPr="00522048">
        <w:rPr>
          <w:rFonts w:ascii="Palatino Linotype" w:hAnsi="Palatino Linotype"/>
        </w:rPr>
        <w:t xml:space="preserve">riedade de prestar contas e publicar balancetes nos prazos fixados em lei; </w:t>
      </w:r>
    </w:p>
    <w:p w:rsidR="00B91720" w:rsidRPr="00522048" w:rsidRDefault="00B06461" w:rsidP="00A30E3D">
      <w:pPr>
        <w:spacing w:after="0" w:line="240" w:lineRule="auto"/>
        <w:ind w:left="2832"/>
        <w:jc w:val="both"/>
        <w:rPr>
          <w:rFonts w:ascii="Palatino Linotype" w:hAnsi="Palatino Linotype"/>
        </w:rPr>
      </w:pPr>
      <w:r w:rsidRPr="00522048">
        <w:rPr>
          <w:rFonts w:ascii="Palatino Linotype" w:hAnsi="Palatino Linotype"/>
        </w:rPr>
        <w:t>(...)</w:t>
      </w:r>
    </w:p>
    <w:p w:rsidR="00B91720" w:rsidRPr="00522048" w:rsidRDefault="00B91720" w:rsidP="00B91720">
      <w:pPr>
        <w:spacing w:after="0" w:line="360" w:lineRule="auto"/>
        <w:ind w:left="2832"/>
        <w:jc w:val="both"/>
        <w:rPr>
          <w:rFonts w:ascii="Palatino Linotype" w:hAnsi="Palatino Linotype"/>
          <w:sz w:val="24"/>
          <w:szCs w:val="24"/>
        </w:rPr>
      </w:pPr>
    </w:p>
    <w:p w:rsidR="009B7FCE" w:rsidRPr="00522048" w:rsidRDefault="009B7FCE" w:rsidP="00F7799C">
      <w:pPr>
        <w:spacing w:after="0"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 w:rsidRPr="00522048">
        <w:rPr>
          <w:rFonts w:ascii="Palatino Linotype" w:hAnsi="Palatino Linotype"/>
          <w:sz w:val="24"/>
          <w:szCs w:val="24"/>
        </w:rPr>
        <w:t>No que diz respeito à iniciativa para a deflagração do processo legislat</w:t>
      </w:r>
      <w:r w:rsidRPr="00522048">
        <w:rPr>
          <w:rFonts w:ascii="Palatino Linotype" w:hAnsi="Palatino Linotype"/>
          <w:sz w:val="24"/>
          <w:szCs w:val="24"/>
        </w:rPr>
        <w:t>i</w:t>
      </w:r>
      <w:r w:rsidRPr="00522048">
        <w:rPr>
          <w:rFonts w:ascii="Palatino Linotype" w:hAnsi="Palatino Linotype"/>
          <w:sz w:val="24"/>
          <w:szCs w:val="24"/>
        </w:rPr>
        <w:t>vo, o a</w:t>
      </w:r>
      <w:r w:rsidRPr="00522048">
        <w:rPr>
          <w:rFonts w:ascii="Palatino Linotype" w:hAnsi="Palatino Linotype"/>
          <w:sz w:val="24"/>
          <w:szCs w:val="24"/>
        </w:rPr>
        <w:t>r</w:t>
      </w:r>
      <w:r w:rsidRPr="00522048">
        <w:rPr>
          <w:rFonts w:ascii="Palatino Linotype" w:hAnsi="Palatino Linotype"/>
          <w:sz w:val="24"/>
          <w:szCs w:val="24"/>
        </w:rPr>
        <w:t xml:space="preserve">tigo 119 da Lei Orgânica Municipal atribui ao </w:t>
      </w:r>
      <w:r w:rsidR="00611213" w:rsidRPr="00522048">
        <w:rPr>
          <w:rFonts w:ascii="Palatino Linotype" w:hAnsi="Palatino Linotype"/>
          <w:sz w:val="24"/>
          <w:szCs w:val="24"/>
        </w:rPr>
        <w:t>Chefe do Poder Executivo Municipal</w:t>
      </w:r>
      <w:r w:rsidRPr="00522048">
        <w:rPr>
          <w:rFonts w:ascii="Palatino Linotype" w:hAnsi="Palatino Linotype"/>
          <w:sz w:val="24"/>
          <w:szCs w:val="24"/>
        </w:rPr>
        <w:t xml:space="preserve"> a iniciativa exclusiva de projetos de lei que tratem de matéria orç</w:t>
      </w:r>
      <w:r w:rsidRPr="00522048">
        <w:rPr>
          <w:rFonts w:ascii="Palatino Linotype" w:hAnsi="Palatino Linotype"/>
          <w:sz w:val="24"/>
          <w:szCs w:val="24"/>
        </w:rPr>
        <w:t>a</w:t>
      </w:r>
      <w:r w:rsidRPr="00522048">
        <w:rPr>
          <w:rFonts w:ascii="Palatino Linotype" w:hAnsi="Palatino Linotype"/>
          <w:sz w:val="24"/>
          <w:szCs w:val="24"/>
        </w:rPr>
        <w:t>mentária, organização administrativa e serviços públicos, incluídos aí os que autorizam a abertura de crédito, contrair empréstimos e a realização de oper</w:t>
      </w:r>
      <w:r w:rsidRPr="00522048">
        <w:rPr>
          <w:rFonts w:ascii="Palatino Linotype" w:hAnsi="Palatino Linotype"/>
          <w:sz w:val="24"/>
          <w:szCs w:val="24"/>
        </w:rPr>
        <w:t>a</w:t>
      </w:r>
      <w:r w:rsidRPr="00522048">
        <w:rPr>
          <w:rFonts w:ascii="Palatino Linotype" w:hAnsi="Palatino Linotype"/>
          <w:sz w:val="24"/>
          <w:szCs w:val="24"/>
        </w:rPr>
        <w:t>ções de crédito:</w:t>
      </w:r>
    </w:p>
    <w:p w:rsidR="009B7FCE" w:rsidRPr="00522048" w:rsidRDefault="009B7FCE" w:rsidP="00F7799C">
      <w:pPr>
        <w:spacing w:after="0"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</w:p>
    <w:p w:rsidR="009B7FCE" w:rsidRPr="00522048" w:rsidRDefault="009B7FCE" w:rsidP="009039C0">
      <w:pPr>
        <w:spacing w:after="0" w:line="240" w:lineRule="auto"/>
        <w:ind w:left="2829"/>
        <w:jc w:val="both"/>
        <w:rPr>
          <w:rFonts w:ascii="Palatino Linotype" w:hAnsi="Palatino Linotype"/>
        </w:rPr>
      </w:pPr>
      <w:r w:rsidRPr="00522048">
        <w:rPr>
          <w:rFonts w:ascii="Palatino Linotype" w:hAnsi="Palatino Linotype"/>
        </w:rPr>
        <w:t xml:space="preserve">Art. 119. </w:t>
      </w:r>
      <w:r w:rsidRPr="00522048">
        <w:rPr>
          <w:rFonts w:ascii="Palatino Linotype" w:hAnsi="Palatino Linotype"/>
          <w:b/>
        </w:rPr>
        <w:t>É competência exclusiva do Prefeito a iniciativa dos projetos de lei que disponham sobre</w:t>
      </w:r>
      <w:r w:rsidRPr="00522048">
        <w:rPr>
          <w:rFonts w:ascii="Palatino Linotype" w:hAnsi="Palatino Linotype"/>
        </w:rPr>
        <w:t xml:space="preserve">: </w:t>
      </w:r>
    </w:p>
    <w:p w:rsidR="009B7FCE" w:rsidRPr="00522048" w:rsidRDefault="009B7FCE" w:rsidP="009039C0">
      <w:pPr>
        <w:spacing w:after="0" w:line="240" w:lineRule="auto"/>
        <w:ind w:left="2829"/>
        <w:jc w:val="both"/>
        <w:rPr>
          <w:rFonts w:ascii="Palatino Linotype" w:hAnsi="Palatino Linotype"/>
        </w:rPr>
      </w:pPr>
      <w:r w:rsidRPr="00522048">
        <w:rPr>
          <w:rFonts w:ascii="Palatino Linotype" w:hAnsi="Palatino Linotype"/>
        </w:rPr>
        <w:t>I - criação de cargos, funções ou empregos públicos na administração direta e autárquica ou aumento de sua r</w:t>
      </w:r>
      <w:r w:rsidRPr="00522048">
        <w:rPr>
          <w:rFonts w:ascii="Palatino Linotype" w:hAnsi="Palatino Linotype"/>
        </w:rPr>
        <w:t>e</w:t>
      </w:r>
      <w:r w:rsidRPr="00522048">
        <w:rPr>
          <w:rFonts w:ascii="Palatino Linotype" w:hAnsi="Palatino Linotype"/>
        </w:rPr>
        <w:t xml:space="preserve">muneração; </w:t>
      </w:r>
    </w:p>
    <w:p w:rsidR="009B7FCE" w:rsidRPr="00522048" w:rsidRDefault="009B7FCE" w:rsidP="009039C0">
      <w:pPr>
        <w:spacing w:after="0" w:line="240" w:lineRule="auto"/>
        <w:ind w:left="2829"/>
        <w:jc w:val="both"/>
        <w:rPr>
          <w:rFonts w:ascii="Palatino Linotype" w:hAnsi="Palatino Linotype"/>
          <w:b/>
        </w:rPr>
      </w:pPr>
      <w:r w:rsidRPr="00522048">
        <w:rPr>
          <w:rFonts w:ascii="Palatino Linotype" w:hAnsi="Palatino Linotype"/>
        </w:rPr>
        <w:t>II -</w:t>
      </w:r>
      <w:r w:rsidRPr="00522048">
        <w:rPr>
          <w:rFonts w:ascii="Palatino Linotype" w:hAnsi="Palatino Linotype"/>
          <w:b/>
        </w:rPr>
        <w:t xml:space="preserve"> </w:t>
      </w:r>
      <w:r w:rsidRPr="00522048">
        <w:rPr>
          <w:rFonts w:ascii="Palatino Linotype" w:hAnsi="Palatino Linotype"/>
        </w:rPr>
        <w:t>organização administrativa,</w:t>
      </w:r>
      <w:r w:rsidRPr="00522048">
        <w:rPr>
          <w:rFonts w:ascii="Palatino Linotype" w:hAnsi="Palatino Linotype"/>
          <w:b/>
        </w:rPr>
        <w:t xml:space="preserve"> matéria orçamentária e serv</w:t>
      </w:r>
      <w:r w:rsidRPr="00522048">
        <w:rPr>
          <w:rFonts w:ascii="Palatino Linotype" w:hAnsi="Palatino Linotype"/>
          <w:b/>
        </w:rPr>
        <w:t>i</w:t>
      </w:r>
      <w:r w:rsidRPr="00522048">
        <w:rPr>
          <w:rFonts w:ascii="Palatino Linotype" w:hAnsi="Palatino Linotype"/>
          <w:b/>
        </w:rPr>
        <w:t>ços públicos</w:t>
      </w:r>
      <w:r w:rsidRPr="00522048">
        <w:rPr>
          <w:rFonts w:ascii="Palatino Linotype" w:hAnsi="Palatino Linotype"/>
        </w:rPr>
        <w:t>;</w:t>
      </w:r>
    </w:p>
    <w:p w:rsidR="009B7FCE" w:rsidRPr="00522048" w:rsidRDefault="009B7FCE" w:rsidP="00F7799C">
      <w:pPr>
        <w:spacing w:after="0"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</w:p>
    <w:p w:rsidR="00AC4037" w:rsidRPr="00522048" w:rsidRDefault="00AC4037" w:rsidP="00F7799C">
      <w:pPr>
        <w:spacing w:after="0"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 w:rsidRPr="00522048">
        <w:rPr>
          <w:rFonts w:ascii="Palatino Linotype" w:hAnsi="Palatino Linotype"/>
          <w:sz w:val="24"/>
          <w:szCs w:val="24"/>
        </w:rPr>
        <w:t>Assim sendo, está adequada a proposição quanto à competência munic</w:t>
      </w:r>
      <w:r w:rsidRPr="00522048">
        <w:rPr>
          <w:rFonts w:ascii="Palatino Linotype" w:hAnsi="Palatino Linotype"/>
          <w:sz w:val="24"/>
          <w:szCs w:val="24"/>
        </w:rPr>
        <w:t>i</w:t>
      </w:r>
      <w:r w:rsidRPr="00522048">
        <w:rPr>
          <w:rFonts w:ascii="Palatino Linotype" w:hAnsi="Palatino Linotype"/>
          <w:sz w:val="24"/>
          <w:szCs w:val="24"/>
        </w:rPr>
        <w:t>pal e bem exercida a iniciativa</w:t>
      </w:r>
      <w:r w:rsidR="00611213" w:rsidRPr="00522048">
        <w:rPr>
          <w:rFonts w:ascii="Palatino Linotype" w:hAnsi="Palatino Linotype"/>
          <w:sz w:val="24"/>
          <w:szCs w:val="24"/>
        </w:rPr>
        <w:t xml:space="preserve"> para a deflagração da propositura legislativa em apreço</w:t>
      </w:r>
      <w:r w:rsidRPr="00522048">
        <w:rPr>
          <w:rFonts w:ascii="Palatino Linotype" w:hAnsi="Palatino Linotype"/>
          <w:sz w:val="24"/>
          <w:szCs w:val="24"/>
        </w:rPr>
        <w:t>.</w:t>
      </w:r>
    </w:p>
    <w:p w:rsidR="00DB1EF0" w:rsidRPr="00522048" w:rsidRDefault="00DB1EF0" w:rsidP="00F7799C">
      <w:pPr>
        <w:spacing w:after="0"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</w:p>
    <w:p w:rsidR="00432656" w:rsidRPr="00522048" w:rsidRDefault="00432656" w:rsidP="00F7799C">
      <w:pPr>
        <w:spacing w:after="0"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 w:rsidRPr="00522048">
        <w:rPr>
          <w:rFonts w:ascii="Palatino Linotype" w:hAnsi="Palatino Linotype"/>
          <w:sz w:val="24"/>
          <w:szCs w:val="24"/>
        </w:rPr>
        <w:t>A Lei de Responsabilidade Fiscal (LC nº 101/2000)</w:t>
      </w:r>
      <w:r w:rsidR="00130C84" w:rsidRPr="00522048">
        <w:rPr>
          <w:rFonts w:ascii="Palatino Linotype" w:hAnsi="Palatino Linotype"/>
          <w:sz w:val="24"/>
          <w:szCs w:val="24"/>
        </w:rPr>
        <w:t>, lei que em regime n</w:t>
      </w:r>
      <w:r w:rsidR="00130C84" w:rsidRPr="00522048">
        <w:rPr>
          <w:rFonts w:ascii="Palatino Linotype" w:hAnsi="Palatino Linotype"/>
          <w:sz w:val="24"/>
          <w:szCs w:val="24"/>
        </w:rPr>
        <w:t>a</w:t>
      </w:r>
      <w:r w:rsidR="00130C84" w:rsidRPr="00522048">
        <w:rPr>
          <w:rFonts w:ascii="Palatino Linotype" w:hAnsi="Palatino Linotype"/>
          <w:sz w:val="24"/>
          <w:szCs w:val="24"/>
        </w:rPr>
        <w:t>cional estabelece parâmetros a serem seguidos relativos ao gasto público de c</w:t>
      </w:r>
      <w:r w:rsidR="00130C84" w:rsidRPr="00522048">
        <w:rPr>
          <w:rFonts w:ascii="Palatino Linotype" w:hAnsi="Palatino Linotype"/>
          <w:sz w:val="24"/>
          <w:szCs w:val="24"/>
        </w:rPr>
        <w:t>a</w:t>
      </w:r>
      <w:r w:rsidR="00130C84" w:rsidRPr="00522048">
        <w:rPr>
          <w:rFonts w:ascii="Palatino Linotype" w:hAnsi="Palatino Linotype"/>
          <w:sz w:val="24"/>
          <w:szCs w:val="24"/>
        </w:rPr>
        <w:t>da ente federativo brasileiro</w:t>
      </w:r>
      <w:r w:rsidRPr="00522048">
        <w:rPr>
          <w:rFonts w:ascii="Palatino Linotype" w:hAnsi="Palatino Linotype"/>
          <w:sz w:val="24"/>
          <w:szCs w:val="24"/>
        </w:rPr>
        <w:t xml:space="preserve"> </w:t>
      </w:r>
      <w:r w:rsidR="00836541" w:rsidRPr="00522048">
        <w:rPr>
          <w:rFonts w:ascii="Palatino Linotype" w:hAnsi="Palatino Linotype"/>
          <w:sz w:val="24"/>
          <w:szCs w:val="24"/>
        </w:rPr>
        <w:t>e um dos mais fortes instrumentos de transparê</w:t>
      </w:r>
      <w:r w:rsidR="00836541" w:rsidRPr="00522048">
        <w:rPr>
          <w:rFonts w:ascii="Palatino Linotype" w:hAnsi="Palatino Linotype"/>
          <w:sz w:val="24"/>
          <w:szCs w:val="24"/>
        </w:rPr>
        <w:t>n</w:t>
      </w:r>
      <w:r w:rsidR="00836541" w:rsidRPr="00522048">
        <w:rPr>
          <w:rFonts w:ascii="Palatino Linotype" w:hAnsi="Palatino Linotype"/>
          <w:sz w:val="24"/>
          <w:szCs w:val="24"/>
        </w:rPr>
        <w:t>cia em relação aos gastos públicos, indica os parâmetros para uma administr</w:t>
      </w:r>
      <w:r w:rsidR="00836541" w:rsidRPr="00522048">
        <w:rPr>
          <w:rFonts w:ascii="Palatino Linotype" w:hAnsi="Palatino Linotype"/>
          <w:sz w:val="24"/>
          <w:szCs w:val="24"/>
        </w:rPr>
        <w:t>a</w:t>
      </w:r>
      <w:r w:rsidR="00836541" w:rsidRPr="00522048">
        <w:rPr>
          <w:rFonts w:ascii="Palatino Linotype" w:hAnsi="Palatino Linotype"/>
          <w:sz w:val="24"/>
          <w:szCs w:val="24"/>
        </w:rPr>
        <w:t>ção eficiente</w:t>
      </w:r>
      <w:r w:rsidR="00FC378F" w:rsidRPr="00522048">
        <w:rPr>
          <w:rFonts w:ascii="Palatino Linotype" w:hAnsi="Palatino Linotype"/>
          <w:sz w:val="24"/>
          <w:szCs w:val="24"/>
        </w:rPr>
        <w:t>,</w:t>
      </w:r>
      <w:r w:rsidR="00836541" w:rsidRPr="00522048">
        <w:rPr>
          <w:rFonts w:ascii="Palatino Linotype" w:hAnsi="Palatino Linotype"/>
          <w:sz w:val="24"/>
          <w:szCs w:val="24"/>
        </w:rPr>
        <w:t xml:space="preserve"> </w:t>
      </w:r>
      <w:r w:rsidRPr="00522048">
        <w:rPr>
          <w:rFonts w:ascii="Palatino Linotype" w:hAnsi="Palatino Linotype"/>
          <w:sz w:val="24"/>
          <w:szCs w:val="24"/>
        </w:rPr>
        <w:t>traz</w:t>
      </w:r>
      <w:r w:rsidR="00C340F5" w:rsidRPr="00522048">
        <w:rPr>
          <w:rFonts w:ascii="Palatino Linotype" w:hAnsi="Palatino Linotype"/>
          <w:sz w:val="24"/>
          <w:szCs w:val="24"/>
        </w:rPr>
        <w:t>endo</w:t>
      </w:r>
      <w:r w:rsidRPr="00522048">
        <w:rPr>
          <w:rFonts w:ascii="Palatino Linotype" w:hAnsi="Palatino Linotype"/>
          <w:sz w:val="24"/>
          <w:szCs w:val="24"/>
        </w:rPr>
        <w:t xml:space="preserve"> o conceito de operação de crédito </w:t>
      </w:r>
      <w:r w:rsidR="00C340F5" w:rsidRPr="00522048">
        <w:rPr>
          <w:rFonts w:ascii="Palatino Linotype" w:hAnsi="Palatino Linotype"/>
          <w:sz w:val="24"/>
          <w:szCs w:val="24"/>
        </w:rPr>
        <w:t>(</w:t>
      </w:r>
      <w:r w:rsidRPr="00522048">
        <w:rPr>
          <w:rFonts w:ascii="Palatino Linotype" w:hAnsi="Palatino Linotype"/>
          <w:sz w:val="24"/>
          <w:szCs w:val="24"/>
        </w:rPr>
        <w:t>artigo 29, inciso III</w:t>
      </w:r>
      <w:r w:rsidR="00C340F5" w:rsidRPr="00522048">
        <w:rPr>
          <w:rFonts w:ascii="Palatino Linotype" w:hAnsi="Palatino Linotype"/>
          <w:sz w:val="24"/>
          <w:szCs w:val="24"/>
        </w:rPr>
        <w:t>)</w:t>
      </w:r>
      <w:r w:rsidRPr="00522048">
        <w:rPr>
          <w:rFonts w:ascii="Palatino Linotype" w:hAnsi="Palatino Linotype"/>
          <w:sz w:val="24"/>
          <w:szCs w:val="24"/>
        </w:rPr>
        <w:t>:</w:t>
      </w:r>
    </w:p>
    <w:p w:rsidR="00432656" w:rsidRPr="00522048" w:rsidRDefault="00432656" w:rsidP="00F7799C">
      <w:pPr>
        <w:spacing w:after="0"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</w:p>
    <w:p w:rsidR="00432656" w:rsidRPr="00522048" w:rsidRDefault="00432656" w:rsidP="009039C0">
      <w:pPr>
        <w:spacing w:after="0" w:line="240" w:lineRule="auto"/>
        <w:ind w:left="2829"/>
        <w:jc w:val="both"/>
        <w:rPr>
          <w:rFonts w:ascii="Palatino Linotype" w:hAnsi="Palatino Linotype"/>
        </w:rPr>
      </w:pPr>
      <w:r w:rsidRPr="00522048">
        <w:rPr>
          <w:rFonts w:ascii="Palatino Linotype" w:hAnsi="Palatino Linotype"/>
        </w:rPr>
        <w:lastRenderedPageBreak/>
        <w:t xml:space="preserve"> Art. 29. Para os efeitos desta Lei Complementar, são ad</w:t>
      </w:r>
      <w:r w:rsidRPr="00522048">
        <w:rPr>
          <w:rFonts w:ascii="Palatino Linotype" w:hAnsi="Palatino Linotype"/>
        </w:rPr>
        <w:t>o</w:t>
      </w:r>
      <w:r w:rsidRPr="00522048">
        <w:rPr>
          <w:rFonts w:ascii="Palatino Linotype" w:hAnsi="Palatino Linotype"/>
        </w:rPr>
        <w:t xml:space="preserve">tadas as seguintes definições: </w:t>
      </w:r>
    </w:p>
    <w:p w:rsidR="00432656" w:rsidRPr="00522048" w:rsidRDefault="00432656" w:rsidP="009039C0">
      <w:pPr>
        <w:spacing w:after="0" w:line="240" w:lineRule="auto"/>
        <w:ind w:left="2829"/>
        <w:jc w:val="both"/>
        <w:rPr>
          <w:rFonts w:ascii="Palatino Linotype" w:hAnsi="Palatino Linotype"/>
        </w:rPr>
      </w:pPr>
      <w:r w:rsidRPr="00522048">
        <w:rPr>
          <w:rFonts w:ascii="Palatino Linotype" w:hAnsi="Palatino Linotype"/>
        </w:rPr>
        <w:t xml:space="preserve">(...) </w:t>
      </w:r>
    </w:p>
    <w:p w:rsidR="00432656" w:rsidRPr="00522048" w:rsidRDefault="00432656" w:rsidP="009039C0">
      <w:pPr>
        <w:spacing w:after="0" w:line="240" w:lineRule="auto"/>
        <w:ind w:left="2829"/>
        <w:jc w:val="both"/>
        <w:rPr>
          <w:rFonts w:ascii="Palatino Linotype" w:hAnsi="Palatino Linotype"/>
        </w:rPr>
      </w:pPr>
      <w:r w:rsidRPr="00522048">
        <w:rPr>
          <w:rFonts w:ascii="Palatino Linotype" w:hAnsi="Palatino Linotype"/>
        </w:rPr>
        <w:t xml:space="preserve">III - </w:t>
      </w:r>
      <w:r w:rsidRPr="00522048">
        <w:rPr>
          <w:rFonts w:ascii="Palatino Linotype" w:hAnsi="Palatino Linotype"/>
          <w:b/>
        </w:rPr>
        <w:t>operação de crédito: compromisso financeiro ass</w:t>
      </w:r>
      <w:r w:rsidRPr="00522048">
        <w:rPr>
          <w:rFonts w:ascii="Palatino Linotype" w:hAnsi="Palatino Linotype"/>
          <w:b/>
        </w:rPr>
        <w:t>u</w:t>
      </w:r>
      <w:r w:rsidRPr="00522048">
        <w:rPr>
          <w:rFonts w:ascii="Palatino Linotype" w:hAnsi="Palatino Linotype"/>
          <w:b/>
        </w:rPr>
        <w:t>mido em razão de mútuo</w:t>
      </w:r>
      <w:r w:rsidRPr="00522048">
        <w:rPr>
          <w:rFonts w:ascii="Palatino Linotype" w:hAnsi="Palatino Linotype"/>
        </w:rPr>
        <w:t>, abertura de crédito, emissão e aceite de título, aquisição financiada de bens, recebimento antecipado de valores provenientes da venda a termo de bens e serviços, arrendamento mercantil e outras oper</w:t>
      </w:r>
      <w:r w:rsidRPr="00522048">
        <w:rPr>
          <w:rFonts w:ascii="Palatino Linotype" w:hAnsi="Palatino Linotype"/>
        </w:rPr>
        <w:t>a</w:t>
      </w:r>
      <w:r w:rsidRPr="00522048">
        <w:rPr>
          <w:rFonts w:ascii="Palatino Linotype" w:hAnsi="Palatino Linotype"/>
        </w:rPr>
        <w:t>ções assemelhadas, inclusive com o uso de derivativos f</w:t>
      </w:r>
      <w:r w:rsidRPr="00522048">
        <w:rPr>
          <w:rFonts w:ascii="Palatino Linotype" w:hAnsi="Palatino Linotype"/>
        </w:rPr>
        <w:t>i</w:t>
      </w:r>
      <w:r w:rsidRPr="00522048">
        <w:rPr>
          <w:rFonts w:ascii="Palatino Linotype" w:hAnsi="Palatino Linotype"/>
        </w:rPr>
        <w:t>nanceiros;</w:t>
      </w:r>
    </w:p>
    <w:p w:rsidR="00432656" w:rsidRPr="00522048" w:rsidRDefault="00432656" w:rsidP="00F7799C">
      <w:pPr>
        <w:spacing w:after="0"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</w:p>
    <w:p w:rsidR="00EA3AA4" w:rsidRPr="00522048" w:rsidRDefault="00080580" w:rsidP="00F7799C">
      <w:pPr>
        <w:spacing w:after="0"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 w:rsidRPr="00522048">
        <w:rPr>
          <w:rFonts w:ascii="Palatino Linotype" w:hAnsi="Palatino Linotype"/>
          <w:sz w:val="24"/>
          <w:szCs w:val="24"/>
        </w:rPr>
        <w:t xml:space="preserve">Com efeito, </w:t>
      </w:r>
      <w:r w:rsidRPr="00522048">
        <w:rPr>
          <w:rFonts w:ascii="Palatino Linotype" w:hAnsi="Palatino Linotype"/>
          <w:b/>
          <w:sz w:val="24"/>
          <w:szCs w:val="24"/>
        </w:rPr>
        <w:t>a</w:t>
      </w:r>
      <w:r w:rsidR="00EA3AA4" w:rsidRPr="00522048">
        <w:rPr>
          <w:rFonts w:ascii="Palatino Linotype" w:hAnsi="Palatino Linotype"/>
          <w:b/>
          <w:sz w:val="24"/>
          <w:szCs w:val="24"/>
        </w:rPr>
        <w:t xml:space="preserve"> C</w:t>
      </w:r>
      <w:r w:rsidR="00F7799C" w:rsidRPr="00522048">
        <w:rPr>
          <w:rFonts w:ascii="Palatino Linotype" w:hAnsi="Palatino Linotype"/>
          <w:b/>
          <w:sz w:val="24"/>
          <w:szCs w:val="24"/>
        </w:rPr>
        <w:t xml:space="preserve">onstituição </w:t>
      </w:r>
      <w:r w:rsidR="00EA3AA4" w:rsidRPr="00522048">
        <w:rPr>
          <w:rFonts w:ascii="Palatino Linotype" w:hAnsi="Palatino Linotype"/>
          <w:b/>
          <w:sz w:val="24"/>
          <w:szCs w:val="24"/>
        </w:rPr>
        <w:t>F</w:t>
      </w:r>
      <w:r w:rsidR="00F7799C" w:rsidRPr="00522048">
        <w:rPr>
          <w:rFonts w:ascii="Palatino Linotype" w:hAnsi="Palatino Linotype"/>
          <w:b/>
          <w:sz w:val="24"/>
          <w:szCs w:val="24"/>
        </w:rPr>
        <w:t>ederal</w:t>
      </w:r>
      <w:r w:rsidR="00344A31" w:rsidRPr="00522048">
        <w:rPr>
          <w:rFonts w:ascii="Palatino Linotype" w:hAnsi="Palatino Linotype"/>
          <w:b/>
          <w:sz w:val="24"/>
          <w:szCs w:val="24"/>
        </w:rPr>
        <w:t xml:space="preserve"> exige a aprovação legislativa para as matérias que digam respeito a operações de crédito</w:t>
      </w:r>
      <w:r w:rsidR="00FC378F" w:rsidRPr="00522048">
        <w:rPr>
          <w:rFonts w:ascii="Palatino Linotype" w:hAnsi="Palatino Linotype"/>
          <w:sz w:val="24"/>
          <w:szCs w:val="24"/>
        </w:rPr>
        <w:t xml:space="preserve">, norma de repetição </w:t>
      </w:r>
      <w:r w:rsidR="009039C0" w:rsidRPr="00522048">
        <w:rPr>
          <w:rFonts w:ascii="Palatino Linotype" w:hAnsi="Palatino Linotype"/>
          <w:sz w:val="24"/>
          <w:szCs w:val="24"/>
        </w:rPr>
        <w:t>obr</w:t>
      </w:r>
      <w:r w:rsidR="009039C0" w:rsidRPr="00522048">
        <w:rPr>
          <w:rFonts w:ascii="Palatino Linotype" w:hAnsi="Palatino Linotype"/>
          <w:sz w:val="24"/>
          <w:szCs w:val="24"/>
        </w:rPr>
        <w:t>i</w:t>
      </w:r>
      <w:r w:rsidR="009039C0" w:rsidRPr="00522048">
        <w:rPr>
          <w:rFonts w:ascii="Palatino Linotype" w:hAnsi="Palatino Linotype"/>
          <w:sz w:val="24"/>
          <w:szCs w:val="24"/>
        </w:rPr>
        <w:t>gatória</w:t>
      </w:r>
      <w:r w:rsidR="00C340F5" w:rsidRPr="00522048">
        <w:rPr>
          <w:rFonts w:ascii="Palatino Linotype" w:hAnsi="Palatino Linotype"/>
          <w:sz w:val="24"/>
          <w:szCs w:val="24"/>
        </w:rPr>
        <w:t xml:space="preserve"> para os demais entes federados</w:t>
      </w:r>
      <w:r w:rsidR="009039C0" w:rsidRPr="00522048">
        <w:rPr>
          <w:rFonts w:ascii="Palatino Linotype" w:hAnsi="Palatino Linotype"/>
          <w:sz w:val="24"/>
          <w:szCs w:val="24"/>
        </w:rPr>
        <w:t>:</w:t>
      </w:r>
    </w:p>
    <w:p w:rsidR="00080580" w:rsidRPr="00522048" w:rsidRDefault="00080580" w:rsidP="00F7799C">
      <w:pPr>
        <w:spacing w:after="0"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</w:p>
    <w:p w:rsidR="001F7FAA" w:rsidRPr="00522048" w:rsidRDefault="001F7FAA" w:rsidP="009039C0">
      <w:pPr>
        <w:spacing w:after="0" w:line="240" w:lineRule="auto"/>
        <w:ind w:left="2829"/>
        <w:jc w:val="both"/>
        <w:rPr>
          <w:rFonts w:ascii="Palatino Linotype" w:hAnsi="Palatino Linotype"/>
        </w:rPr>
      </w:pPr>
      <w:r w:rsidRPr="00522048">
        <w:rPr>
          <w:rFonts w:ascii="Palatino Linotype" w:hAnsi="Palatino Linotype"/>
        </w:rPr>
        <w:t xml:space="preserve">Art. 48. </w:t>
      </w:r>
      <w:r w:rsidRPr="00522048">
        <w:rPr>
          <w:rFonts w:ascii="Palatino Linotype" w:hAnsi="Palatino Linotype"/>
          <w:b/>
        </w:rPr>
        <w:t>Cabe ao Congresso Nacional, com a sanção do Presidente da República</w:t>
      </w:r>
      <w:r w:rsidRPr="00522048">
        <w:rPr>
          <w:rFonts w:ascii="Palatino Linotype" w:hAnsi="Palatino Linotype"/>
        </w:rPr>
        <w:t>, não exigida esta para o especif</w:t>
      </w:r>
      <w:r w:rsidRPr="00522048">
        <w:rPr>
          <w:rFonts w:ascii="Palatino Linotype" w:hAnsi="Palatino Linotype"/>
        </w:rPr>
        <w:t>i</w:t>
      </w:r>
      <w:r w:rsidRPr="00522048">
        <w:rPr>
          <w:rFonts w:ascii="Palatino Linotype" w:hAnsi="Palatino Linotype"/>
        </w:rPr>
        <w:t>cado nos arts. 49, 51 e 52, dispor sobre todas as matérias de competê</w:t>
      </w:r>
      <w:r w:rsidRPr="00522048">
        <w:rPr>
          <w:rFonts w:ascii="Palatino Linotype" w:hAnsi="Palatino Linotype"/>
        </w:rPr>
        <w:t>n</w:t>
      </w:r>
      <w:r w:rsidRPr="00522048">
        <w:rPr>
          <w:rFonts w:ascii="Palatino Linotype" w:hAnsi="Palatino Linotype"/>
        </w:rPr>
        <w:t>cia da União, especialmente sobre:</w:t>
      </w:r>
    </w:p>
    <w:p w:rsidR="0046128D" w:rsidRPr="00522048" w:rsidRDefault="0046128D" w:rsidP="009039C0">
      <w:pPr>
        <w:spacing w:after="0" w:line="240" w:lineRule="auto"/>
        <w:ind w:left="2829"/>
        <w:jc w:val="both"/>
        <w:rPr>
          <w:rFonts w:ascii="Palatino Linotype" w:hAnsi="Palatino Linotype"/>
        </w:rPr>
      </w:pPr>
      <w:r w:rsidRPr="00522048">
        <w:rPr>
          <w:rFonts w:ascii="Palatino Linotype" w:hAnsi="Palatino Linotype"/>
        </w:rPr>
        <w:t>I - sistema tributário, arrecadação e distribuição de re</w:t>
      </w:r>
      <w:r w:rsidRPr="00522048">
        <w:rPr>
          <w:rFonts w:ascii="Palatino Linotype" w:hAnsi="Palatino Linotype"/>
        </w:rPr>
        <w:t>n</w:t>
      </w:r>
      <w:r w:rsidRPr="00522048">
        <w:rPr>
          <w:rFonts w:ascii="Palatino Linotype" w:hAnsi="Palatino Linotype"/>
        </w:rPr>
        <w:t xml:space="preserve">das; </w:t>
      </w:r>
    </w:p>
    <w:p w:rsidR="0046128D" w:rsidRPr="00522048" w:rsidRDefault="0046128D" w:rsidP="009039C0">
      <w:pPr>
        <w:spacing w:after="0" w:line="240" w:lineRule="auto"/>
        <w:ind w:left="2829"/>
        <w:jc w:val="both"/>
        <w:rPr>
          <w:rFonts w:ascii="Palatino Linotype" w:hAnsi="Palatino Linotype"/>
        </w:rPr>
      </w:pPr>
      <w:r w:rsidRPr="00522048">
        <w:rPr>
          <w:rFonts w:ascii="Palatino Linotype" w:hAnsi="Palatino Linotype"/>
        </w:rPr>
        <w:t>II - plano plurianual, diretrizes orçamentárias, orçamento an</w:t>
      </w:r>
      <w:r w:rsidRPr="00522048">
        <w:rPr>
          <w:rFonts w:ascii="Palatino Linotype" w:hAnsi="Palatino Linotype"/>
        </w:rPr>
        <w:t>u</w:t>
      </w:r>
      <w:r w:rsidRPr="00522048">
        <w:rPr>
          <w:rFonts w:ascii="Palatino Linotype" w:hAnsi="Palatino Linotype"/>
        </w:rPr>
        <w:t xml:space="preserve">al, </w:t>
      </w:r>
      <w:r w:rsidRPr="00522048">
        <w:rPr>
          <w:rFonts w:ascii="Palatino Linotype" w:hAnsi="Palatino Linotype"/>
          <w:b/>
        </w:rPr>
        <w:t>operações de crédito</w:t>
      </w:r>
      <w:r w:rsidRPr="00522048">
        <w:rPr>
          <w:rFonts w:ascii="Palatino Linotype" w:hAnsi="Palatino Linotype"/>
        </w:rPr>
        <w:t>, dívida pública e emissões de curso forçado;</w:t>
      </w:r>
    </w:p>
    <w:p w:rsidR="00EA3AA4" w:rsidRPr="00522048" w:rsidRDefault="00EA3AA4" w:rsidP="00EA3AA4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EA3AA4" w:rsidRPr="00522048" w:rsidRDefault="00EA3AA4" w:rsidP="00E407B8">
      <w:pPr>
        <w:spacing w:after="0"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 w:rsidRPr="00522048">
        <w:rPr>
          <w:rFonts w:ascii="Palatino Linotype" w:hAnsi="Palatino Linotype"/>
          <w:sz w:val="24"/>
          <w:szCs w:val="24"/>
        </w:rPr>
        <w:t>Por sua vez, a C</w:t>
      </w:r>
      <w:r w:rsidR="00E407B8" w:rsidRPr="00522048">
        <w:rPr>
          <w:rFonts w:ascii="Palatino Linotype" w:hAnsi="Palatino Linotype"/>
          <w:sz w:val="24"/>
          <w:szCs w:val="24"/>
        </w:rPr>
        <w:t xml:space="preserve">onstituição do </w:t>
      </w:r>
      <w:r w:rsidRPr="00522048">
        <w:rPr>
          <w:rFonts w:ascii="Palatino Linotype" w:hAnsi="Palatino Linotype"/>
          <w:sz w:val="24"/>
          <w:szCs w:val="24"/>
        </w:rPr>
        <w:t>E</w:t>
      </w:r>
      <w:r w:rsidR="00E407B8" w:rsidRPr="00522048">
        <w:rPr>
          <w:rFonts w:ascii="Palatino Linotype" w:hAnsi="Palatino Linotype"/>
          <w:sz w:val="24"/>
          <w:szCs w:val="24"/>
        </w:rPr>
        <w:t xml:space="preserve">stado do </w:t>
      </w:r>
      <w:r w:rsidRPr="00522048">
        <w:rPr>
          <w:rFonts w:ascii="Palatino Linotype" w:hAnsi="Palatino Linotype"/>
          <w:sz w:val="24"/>
          <w:szCs w:val="24"/>
        </w:rPr>
        <w:t>R</w:t>
      </w:r>
      <w:r w:rsidR="00E407B8" w:rsidRPr="00522048">
        <w:rPr>
          <w:rFonts w:ascii="Palatino Linotype" w:hAnsi="Palatino Linotype"/>
          <w:sz w:val="24"/>
          <w:szCs w:val="24"/>
        </w:rPr>
        <w:t xml:space="preserve">io Grande do </w:t>
      </w:r>
      <w:r w:rsidRPr="00522048">
        <w:rPr>
          <w:rFonts w:ascii="Palatino Linotype" w:hAnsi="Palatino Linotype"/>
          <w:sz w:val="24"/>
          <w:szCs w:val="24"/>
        </w:rPr>
        <w:t>S</w:t>
      </w:r>
      <w:r w:rsidR="00E407B8" w:rsidRPr="00522048">
        <w:rPr>
          <w:rFonts w:ascii="Palatino Linotype" w:hAnsi="Palatino Linotype"/>
          <w:sz w:val="24"/>
          <w:szCs w:val="24"/>
        </w:rPr>
        <w:t>ul</w:t>
      </w:r>
      <w:r w:rsidRPr="00522048">
        <w:rPr>
          <w:rFonts w:ascii="Palatino Linotype" w:hAnsi="Palatino Linotype"/>
          <w:sz w:val="24"/>
          <w:szCs w:val="24"/>
        </w:rPr>
        <w:t>, em seu art</w:t>
      </w:r>
      <w:r w:rsidRPr="00522048">
        <w:rPr>
          <w:rFonts w:ascii="Palatino Linotype" w:hAnsi="Palatino Linotype"/>
          <w:sz w:val="24"/>
          <w:szCs w:val="24"/>
        </w:rPr>
        <w:t>i</w:t>
      </w:r>
      <w:r w:rsidRPr="00522048">
        <w:rPr>
          <w:rFonts w:ascii="Palatino Linotype" w:hAnsi="Palatino Linotype"/>
          <w:sz w:val="24"/>
          <w:szCs w:val="24"/>
        </w:rPr>
        <w:t>go 52</w:t>
      </w:r>
      <w:r w:rsidR="00047827" w:rsidRPr="00522048">
        <w:rPr>
          <w:rFonts w:ascii="Palatino Linotype" w:hAnsi="Palatino Linotype"/>
          <w:sz w:val="24"/>
          <w:szCs w:val="24"/>
        </w:rPr>
        <w:t xml:space="preserve">, </w:t>
      </w:r>
      <w:r w:rsidR="00FC378F" w:rsidRPr="00522048">
        <w:rPr>
          <w:rFonts w:ascii="Palatino Linotype" w:hAnsi="Palatino Linotype"/>
          <w:sz w:val="24"/>
          <w:szCs w:val="24"/>
        </w:rPr>
        <w:t>diante da observância compulsória no texto constitucional estadual</w:t>
      </w:r>
      <w:r w:rsidR="00D57359" w:rsidRPr="00522048">
        <w:rPr>
          <w:rFonts w:ascii="Palatino Linotype" w:hAnsi="Palatino Linotype"/>
          <w:sz w:val="24"/>
          <w:szCs w:val="24"/>
        </w:rPr>
        <w:t xml:space="preserve"> de certas normas constitucionais</w:t>
      </w:r>
      <w:r w:rsidR="00FC378F" w:rsidRPr="00522048">
        <w:rPr>
          <w:rFonts w:ascii="Palatino Linotype" w:hAnsi="Palatino Linotype"/>
          <w:sz w:val="24"/>
          <w:szCs w:val="24"/>
        </w:rPr>
        <w:t xml:space="preserve">, </w:t>
      </w:r>
      <w:r w:rsidR="00047827" w:rsidRPr="00522048">
        <w:rPr>
          <w:rFonts w:ascii="Palatino Linotype" w:hAnsi="Palatino Linotype"/>
          <w:sz w:val="24"/>
          <w:szCs w:val="24"/>
        </w:rPr>
        <w:t xml:space="preserve">também estabelece a </w:t>
      </w:r>
      <w:r w:rsidR="00047827" w:rsidRPr="00522048">
        <w:rPr>
          <w:rFonts w:ascii="Palatino Linotype" w:hAnsi="Palatino Linotype"/>
          <w:b/>
          <w:sz w:val="24"/>
          <w:szCs w:val="24"/>
        </w:rPr>
        <w:t>competência do Poder L</w:t>
      </w:r>
      <w:r w:rsidR="00047827" w:rsidRPr="00522048">
        <w:rPr>
          <w:rFonts w:ascii="Palatino Linotype" w:hAnsi="Palatino Linotype"/>
          <w:b/>
          <w:sz w:val="24"/>
          <w:szCs w:val="24"/>
        </w:rPr>
        <w:t>e</w:t>
      </w:r>
      <w:r w:rsidR="00047827" w:rsidRPr="00522048">
        <w:rPr>
          <w:rFonts w:ascii="Palatino Linotype" w:hAnsi="Palatino Linotype"/>
          <w:b/>
          <w:sz w:val="24"/>
          <w:szCs w:val="24"/>
        </w:rPr>
        <w:t>gislativo Estadual de dispor sobre operações de crédito</w:t>
      </w:r>
      <w:r w:rsidRPr="00522048">
        <w:rPr>
          <w:rFonts w:ascii="Palatino Linotype" w:hAnsi="Palatino Linotype"/>
          <w:sz w:val="24"/>
          <w:szCs w:val="24"/>
        </w:rPr>
        <w:t>:</w:t>
      </w:r>
    </w:p>
    <w:p w:rsidR="00EA3AA4" w:rsidRPr="00522048" w:rsidRDefault="00EA3AA4" w:rsidP="00EA3AA4">
      <w:pPr>
        <w:spacing w:after="0" w:line="360" w:lineRule="auto"/>
        <w:ind w:left="2832"/>
        <w:jc w:val="both"/>
        <w:rPr>
          <w:rFonts w:ascii="Palatino Linotype" w:hAnsi="Palatino Linotype"/>
          <w:sz w:val="24"/>
          <w:szCs w:val="24"/>
        </w:rPr>
      </w:pPr>
    </w:p>
    <w:p w:rsidR="00EA3AA4" w:rsidRPr="00522048" w:rsidRDefault="00EA3AA4" w:rsidP="009039C0">
      <w:pPr>
        <w:spacing w:after="0" w:line="240" w:lineRule="auto"/>
        <w:ind w:left="2829"/>
        <w:jc w:val="both"/>
        <w:rPr>
          <w:rFonts w:ascii="Palatino Linotype" w:hAnsi="Palatino Linotype"/>
        </w:rPr>
      </w:pPr>
      <w:r w:rsidRPr="00522048">
        <w:rPr>
          <w:rFonts w:ascii="Palatino Linotype" w:hAnsi="Palatino Linotype"/>
        </w:rPr>
        <w:t xml:space="preserve">Art. 52. Compete à </w:t>
      </w:r>
      <w:r w:rsidR="00C340F5" w:rsidRPr="00522048">
        <w:rPr>
          <w:rFonts w:ascii="Palatino Linotype" w:hAnsi="Palatino Linotype"/>
        </w:rPr>
        <w:t>Assembleia</w:t>
      </w:r>
      <w:r w:rsidRPr="00522048">
        <w:rPr>
          <w:rFonts w:ascii="Palatino Linotype" w:hAnsi="Palatino Linotype"/>
        </w:rPr>
        <w:t xml:space="preserve"> Legislativa, com a sanção do Governador, não exigida esta para o especificado no art. 53, dispor sobre todas as matérias de competência do Estado, e</w:t>
      </w:r>
      <w:r w:rsidRPr="00522048">
        <w:rPr>
          <w:rFonts w:ascii="Palatino Linotype" w:hAnsi="Palatino Linotype"/>
        </w:rPr>
        <w:t>s</w:t>
      </w:r>
      <w:r w:rsidRPr="00522048">
        <w:rPr>
          <w:rFonts w:ascii="Palatino Linotype" w:hAnsi="Palatino Linotype"/>
        </w:rPr>
        <w:t>pecialmente sobre:</w:t>
      </w:r>
    </w:p>
    <w:p w:rsidR="00EA3AA4" w:rsidRPr="00522048" w:rsidRDefault="00EA3AA4" w:rsidP="009039C0">
      <w:pPr>
        <w:spacing w:after="0" w:line="240" w:lineRule="auto"/>
        <w:ind w:left="2829"/>
        <w:jc w:val="both"/>
        <w:rPr>
          <w:rFonts w:ascii="Palatino Linotype" w:hAnsi="Palatino Linotype"/>
        </w:rPr>
      </w:pPr>
      <w:r w:rsidRPr="00522048">
        <w:rPr>
          <w:rFonts w:ascii="Palatino Linotype" w:hAnsi="Palatino Linotype"/>
        </w:rPr>
        <w:t>(...)</w:t>
      </w:r>
    </w:p>
    <w:p w:rsidR="00EA3AA4" w:rsidRPr="00522048" w:rsidRDefault="00EA3AA4" w:rsidP="009039C0">
      <w:pPr>
        <w:spacing w:after="0" w:line="240" w:lineRule="auto"/>
        <w:ind w:left="2829"/>
        <w:jc w:val="both"/>
        <w:rPr>
          <w:rFonts w:ascii="Palatino Linotype" w:hAnsi="Palatino Linotype"/>
          <w:b/>
        </w:rPr>
      </w:pPr>
      <w:r w:rsidRPr="00522048">
        <w:rPr>
          <w:rFonts w:ascii="Palatino Linotype" w:hAnsi="Palatino Linotype"/>
          <w:b/>
        </w:rPr>
        <w:t>VI - abertura e operações de crédito;</w:t>
      </w:r>
    </w:p>
    <w:p w:rsidR="00080580" w:rsidRPr="00522048" w:rsidRDefault="00080580" w:rsidP="00E407B8">
      <w:pPr>
        <w:spacing w:after="0"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</w:p>
    <w:p w:rsidR="00C23352" w:rsidRPr="00522048" w:rsidRDefault="00C23352" w:rsidP="00E407B8">
      <w:pPr>
        <w:spacing w:after="0"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 w:rsidRPr="00522048">
        <w:rPr>
          <w:rFonts w:ascii="Palatino Linotype" w:hAnsi="Palatino Linotype"/>
          <w:sz w:val="24"/>
          <w:szCs w:val="24"/>
        </w:rPr>
        <w:lastRenderedPageBreak/>
        <w:t>Da mesma forma, a Lei Orgânica Municipal</w:t>
      </w:r>
      <w:r w:rsidR="004E2996" w:rsidRPr="00522048">
        <w:rPr>
          <w:rFonts w:ascii="Palatino Linotype" w:hAnsi="Palatino Linotype"/>
          <w:sz w:val="24"/>
          <w:szCs w:val="24"/>
        </w:rPr>
        <w:t>, reproduzindo as normas constit</w:t>
      </w:r>
      <w:r w:rsidR="004E2996" w:rsidRPr="00522048">
        <w:rPr>
          <w:rFonts w:ascii="Palatino Linotype" w:hAnsi="Palatino Linotype"/>
          <w:sz w:val="24"/>
          <w:szCs w:val="24"/>
        </w:rPr>
        <w:t>u</w:t>
      </w:r>
      <w:r w:rsidR="004E2996" w:rsidRPr="00522048">
        <w:rPr>
          <w:rFonts w:ascii="Palatino Linotype" w:hAnsi="Palatino Linotype"/>
          <w:sz w:val="24"/>
          <w:szCs w:val="24"/>
        </w:rPr>
        <w:t>cionais</w:t>
      </w:r>
      <w:r w:rsidR="00E63097" w:rsidRPr="00522048">
        <w:rPr>
          <w:rFonts w:ascii="Palatino Linotype" w:hAnsi="Palatino Linotype"/>
          <w:sz w:val="24"/>
          <w:szCs w:val="24"/>
        </w:rPr>
        <w:t xml:space="preserve"> que </w:t>
      </w:r>
      <w:r w:rsidR="00E63097" w:rsidRPr="00522048">
        <w:rPr>
          <w:rFonts w:ascii="Palatino Linotype" w:hAnsi="Palatino Linotype"/>
          <w:b/>
          <w:sz w:val="24"/>
          <w:szCs w:val="24"/>
        </w:rPr>
        <w:t>exigem a autorização legislativa para operações de crédito dos entes</w:t>
      </w:r>
      <w:r w:rsidR="002F62AD" w:rsidRPr="00522048">
        <w:rPr>
          <w:rFonts w:ascii="Palatino Linotype" w:hAnsi="Palatino Linotype"/>
          <w:sz w:val="24"/>
          <w:szCs w:val="24"/>
        </w:rPr>
        <w:t>, estabelece tal competência em seu artigo 27, inciso X</w:t>
      </w:r>
      <w:r w:rsidR="00716012" w:rsidRPr="00522048">
        <w:rPr>
          <w:rFonts w:ascii="Palatino Linotype" w:hAnsi="Palatino Linotype"/>
          <w:sz w:val="24"/>
          <w:szCs w:val="24"/>
        </w:rPr>
        <w:t xml:space="preserve">, </w:t>
      </w:r>
      <w:r w:rsidR="00716012" w:rsidRPr="00522048">
        <w:rPr>
          <w:rFonts w:ascii="Palatino Linotype" w:hAnsi="Palatino Linotype"/>
          <w:i/>
          <w:sz w:val="24"/>
          <w:szCs w:val="24"/>
        </w:rPr>
        <w:t>in verbis</w:t>
      </w:r>
      <w:r w:rsidR="003B58F5" w:rsidRPr="00522048">
        <w:rPr>
          <w:rFonts w:ascii="Palatino Linotype" w:hAnsi="Palatino Linotype"/>
          <w:sz w:val="24"/>
          <w:szCs w:val="24"/>
        </w:rPr>
        <w:t>, bem como em seu artigo 118, IV</w:t>
      </w:r>
      <w:r w:rsidRPr="00522048">
        <w:rPr>
          <w:rFonts w:ascii="Palatino Linotype" w:hAnsi="Palatino Linotype"/>
          <w:sz w:val="24"/>
          <w:szCs w:val="24"/>
        </w:rPr>
        <w:t>:</w:t>
      </w:r>
    </w:p>
    <w:p w:rsidR="004E2996" w:rsidRPr="00522048" w:rsidRDefault="004E2996" w:rsidP="00EA3AA4">
      <w:pPr>
        <w:spacing w:after="0" w:line="360" w:lineRule="auto"/>
        <w:ind w:left="2832"/>
        <w:jc w:val="both"/>
        <w:rPr>
          <w:rFonts w:ascii="Palatino Linotype" w:hAnsi="Palatino Linotype"/>
          <w:sz w:val="24"/>
          <w:szCs w:val="24"/>
        </w:rPr>
      </w:pPr>
    </w:p>
    <w:p w:rsidR="00EA3AA4" w:rsidRPr="00522048" w:rsidRDefault="00EA3AA4" w:rsidP="009039C0">
      <w:pPr>
        <w:spacing w:after="0" w:line="240" w:lineRule="auto"/>
        <w:ind w:left="2832"/>
        <w:jc w:val="both"/>
        <w:rPr>
          <w:rFonts w:ascii="Palatino Linotype" w:hAnsi="Palatino Linotype"/>
        </w:rPr>
      </w:pPr>
      <w:r w:rsidRPr="00522048">
        <w:rPr>
          <w:rFonts w:ascii="Palatino Linotype" w:hAnsi="Palatino Linotype"/>
        </w:rPr>
        <w:t xml:space="preserve">Art. 27. </w:t>
      </w:r>
      <w:r w:rsidRPr="00522048">
        <w:rPr>
          <w:rFonts w:ascii="Palatino Linotype" w:hAnsi="Palatino Linotype"/>
          <w:b/>
        </w:rPr>
        <w:t>Compete a Câmara Municipal com a sanção do Prefe</w:t>
      </w:r>
      <w:r w:rsidRPr="00522048">
        <w:rPr>
          <w:rFonts w:ascii="Palatino Linotype" w:hAnsi="Palatino Linotype"/>
          <w:b/>
        </w:rPr>
        <w:t>i</w:t>
      </w:r>
      <w:r w:rsidRPr="00522048">
        <w:rPr>
          <w:rFonts w:ascii="Palatino Linotype" w:hAnsi="Palatino Linotype"/>
          <w:b/>
        </w:rPr>
        <w:t>to</w:t>
      </w:r>
      <w:r w:rsidRPr="00522048">
        <w:rPr>
          <w:rFonts w:ascii="Palatino Linotype" w:hAnsi="Palatino Linotype"/>
        </w:rPr>
        <w:t>:</w:t>
      </w:r>
    </w:p>
    <w:p w:rsidR="00EA3AA4" w:rsidRPr="00522048" w:rsidRDefault="00EA3AA4" w:rsidP="009039C0">
      <w:pPr>
        <w:spacing w:after="0" w:line="240" w:lineRule="auto"/>
        <w:ind w:left="2124" w:firstLine="708"/>
        <w:jc w:val="both"/>
        <w:rPr>
          <w:rFonts w:ascii="Palatino Linotype" w:hAnsi="Palatino Linotype"/>
        </w:rPr>
      </w:pPr>
      <w:r w:rsidRPr="00522048">
        <w:rPr>
          <w:rFonts w:ascii="Palatino Linotype" w:hAnsi="Palatino Linotype"/>
        </w:rPr>
        <w:t>(...)</w:t>
      </w:r>
    </w:p>
    <w:p w:rsidR="00EA3AA4" w:rsidRPr="00522048" w:rsidRDefault="00EA3AA4" w:rsidP="009039C0">
      <w:pPr>
        <w:spacing w:after="0" w:line="240" w:lineRule="auto"/>
        <w:ind w:left="2832"/>
        <w:jc w:val="both"/>
        <w:rPr>
          <w:rFonts w:ascii="Palatino Linotype" w:hAnsi="Palatino Linotype"/>
        </w:rPr>
      </w:pPr>
      <w:r w:rsidRPr="00522048">
        <w:rPr>
          <w:rFonts w:ascii="Palatino Linotype" w:hAnsi="Palatino Linotype"/>
        </w:rPr>
        <w:t xml:space="preserve">X - </w:t>
      </w:r>
      <w:r w:rsidRPr="00522048">
        <w:rPr>
          <w:rFonts w:ascii="Palatino Linotype" w:hAnsi="Palatino Linotype"/>
          <w:b/>
        </w:rPr>
        <w:t>deliberar sobre empréstimos e operações de crédito, bem como a forma e os meios de seu pagamento</w:t>
      </w:r>
      <w:r w:rsidRPr="00522048">
        <w:rPr>
          <w:rFonts w:ascii="Palatino Linotype" w:hAnsi="Palatino Linotype"/>
        </w:rPr>
        <w:t>;</w:t>
      </w:r>
    </w:p>
    <w:p w:rsidR="009039C0" w:rsidRPr="00522048" w:rsidRDefault="009039C0" w:rsidP="009039C0">
      <w:pPr>
        <w:spacing w:after="0" w:line="240" w:lineRule="auto"/>
        <w:ind w:left="2832"/>
        <w:jc w:val="both"/>
        <w:rPr>
          <w:rFonts w:ascii="Palatino Linotype" w:hAnsi="Palatino Linotype"/>
        </w:rPr>
      </w:pPr>
    </w:p>
    <w:p w:rsidR="00EA3AA4" w:rsidRPr="00522048" w:rsidRDefault="00EA3AA4" w:rsidP="009039C0">
      <w:pPr>
        <w:spacing w:after="0" w:line="240" w:lineRule="auto"/>
        <w:ind w:left="2832"/>
        <w:jc w:val="both"/>
        <w:rPr>
          <w:rFonts w:ascii="Palatino Linotype" w:hAnsi="Palatino Linotype"/>
        </w:rPr>
      </w:pPr>
    </w:p>
    <w:p w:rsidR="004E2996" w:rsidRPr="00522048" w:rsidRDefault="004E2996" w:rsidP="009039C0">
      <w:pPr>
        <w:spacing w:after="0" w:line="240" w:lineRule="auto"/>
        <w:ind w:left="2832"/>
        <w:jc w:val="both"/>
        <w:rPr>
          <w:rFonts w:ascii="Palatino Linotype" w:hAnsi="Palatino Linotype"/>
        </w:rPr>
      </w:pPr>
      <w:r w:rsidRPr="00522048">
        <w:rPr>
          <w:rFonts w:ascii="Palatino Linotype" w:hAnsi="Palatino Linotype"/>
        </w:rPr>
        <w:t xml:space="preserve">Art. 118 </w:t>
      </w:r>
      <w:r w:rsidRPr="00522048">
        <w:rPr>
          <w:rFonts w:ascii="Palatino Linotype" w:hAnsi="Palatino Linotype"/>
          <w:b/>
        </w:rPr>
        <w:t xml:space="preserve">Compete à Câmara, </w:t>
      </w:r>
      <w:r w:rsidRPr="00522048">
        <w:rPr>
          <w:rFonts w:ascii="Palatino Linotype" w:hAnsi="Palatino Linotype"/>
        </w:rPr>
        <w:t>com a sanção do Prefeito, dispor sobre as matérias de competência do Município, especialme</w:t>
      </w:r>
      <w:r w:rsidRPr="00522048">
        <w:rPr>
          <w:rFonts w:ascii="Palatino Linotype" w:hAnsi="Palatino Linotype"/>
        </w:rPr>
        <w:t>n</w:t>
      </w:r>
      <w:r w:rsidRPr="00522048">
        <w:rPr>
          <w:rFonts w:ascii="Palatino Linotype" w:hAnsi="Palatino Linotype"/>
        </w:rPr>
        <w:t>te:</w:t>
      </w:r>
    </w:p>
    <w:p w:rsidR="00080580" w:rsidRPr="00522048" w:rsidRDefault="00080580" w:rsidP="009039C0">
      <w:pPr>
        <w:spacing w:after="0" w:line="240" w:lineRule="auto"/>
        <w:ind w:left="2832"/>
        <w:jc w:val="both"/>
        <w:rPr>
          <w:rFonts w:ascii="Palatino Linotype" w:hAnsi="Palatino Linotype"/>
        </w:rPr>
      </w:pPr>
      <w:r w:rsidRPr="00522048">
        <w:rPr>
          <w:rFonts w:ascii="Palatino Linotype" w:hAnsi="Palatino Linotype"/>
        </w:rPr>
        <w:t>(...)</w:t>
      </w:r>
    </w:p>
    <w:p w:rsidR="004E2996" w:rsidRPr="00522048" w:rsidRDefault="004E2996" w:rsidP="009039C0">
      <w:pPr>
        <w:spacing w:after="0" w:line="240" w:lineRule="auto"/>
        <w:ind w:left="2832"/>
        <w:jc w:val="both"/>
        <w:rPr>
          <w:rFonts w:ascii="Palatino Linotype" w:hAnsi="Palatino Linotype"/>
          <w:b/>
        </w:rPr>
      </w:pPr>
      <w:r w:rsidRPr="00522048">
        <w:rPr>
          <w:rFonts w:ascii="Palatino Linotype" w:hAnsi="Palatino Linotype"/>
          <w:b/>
        </w:rPr>
        <w:t>IV - autorizar a abertura de operações de crédito;</w:t>
      </w:r>
    </w:p>
    <w:p w:rsidR="00080580" w:rsidRPr="00522048" w:rsidRDefault="00080580" w:rsidP="00080580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A46E07" w:rsidRPr="00522048" w:rsidRDefault="00A46E07" w:rsidP="00A46E07">
      <w:pPr>
        <w:spacing w:after="0"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 w:rsidRPr="00522048">
        <w:rPr>
          <w:rFonts w:ascii="Palatino Linotype" w:hAnsi="Palatino Linotype"/>
          <w:sz w:val="24"/>
          <w:szCs w:val="24"/>
        </w:rPr>
        <w:t>A autorização legislativa pretendida em questão é um dos documentos que serão encaminhados ao Ministério da Economia, através do programa S</w:t>
      </w:r>
      <w:r w:rsidRPr="00522048">
        <w:rPr>
          <w:rFonts w:ascii="Palatino Linotype" w:hAnsi="Palatino Linotype"/>
          <w:sz w:val="24"/>
          <w:szCs w:val="24"/>
        </w:rPr>
        <w:t>A</w:t>
      </w:r>
      <w:r w:rsidRPr="00522048">
        <w:rPr>
          <w:rFonts w:ascii="Palatino Linotype" w:hAnsi="Palatino Linotype"/>
          <w:sz w:val="24"/>
          <w:szCs w:val="24"/>
        </w:rPr>
        <w:t>DIPEM, para a verificação de limites e condições técnicas da dívida pública do Município. Ou seja, a autorização legislativa não garante o recebimento do r</w:t>
      </w:r>
      <w:r w:rsidRPr="00522048">
        <w:rPr>
          <w:rFonts w:ascii="Palatino Linotype" w:hAnsi="Palatino Linotype"/>
          <w:sz w:val="24"/>
          <w:szCs w:val="24"/>
        </w:rPr>
        <w:t>e</w:t>
      </w:r>
      <w:r w:rsidRPr="00522048">
        <w:rPr>
          <w:rFonts w:ascii="Palatino Linotype" w:hAnsi="Palatino Linotype"/>
          <w:sz w:val="24"/>
          <w:szCs w:val="24"/>
        </w:rPr>
        <w:t>curso, é apenas parte do rol de informações e documentos que serão analisados.</w:t>
      </w:r>
    </w:p>
    <w:p w:rsidR="00A46E07" w:rsidRPr="00522048" w:rsidRDefault="00A46E07" w:rsidP="0017045F">
      <w:pPr>
        <w:spacing w:after="0"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</w:p>
    <w:p w:rsidR="00080580" w:rsidRPr="00522048" w:rsidRDefault="00080580" w:rsidP="0017045F">
      <w:pPr>
        <w:spacing w:after="0"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 w:rsidRPr="00522048">
        <w:rPr>
          <w:rFonts w:ascii="Palatino Linotype" w:hAnsi="Palatino Linotype"/>
          <w:sz w:val="24"/>
          <w:szCs w:val="24"/>
        </w:rPr>
        <w:t>O ordenamento jurídico</w:t>
      </w:r>
      <w:r w:rsidR="0017045F" w:rsidRPr="00522048">
        <w:rPr>
          <w:rFonts w:ascii="Palatino Linotype" w:hAnsi="Palatino Linotype"/>
          <w:sz w:val="24"/>
          <w:szCs w:val="24"/>
        </w:rPr>
        <w:t xml:space="preserve"> pátrio</w:t>
      </w:r>
      <w:r w:rsidR="003B537B" w:rsidRPr="00522048">
        <w:rPr>
          <w:rFonts w:ascii="Palatino Linotype" w:hAnsi="Palatino Linotype"/>
          <w:sz w:val="24"/>
          <w:szCs w:val="24"/>
        </w:rPr>
        <w:t xml:space="preserve"> prevê a possibilidade, ademais, da </w:t>
      </w:r>
      <w:r w:rsidR="003C6FC5" w:rsidRPr="00522048">
        <w:rPr>
          <w:rFonts w:ascii="Palatino Linotype" w:hAnsi="Palatino Linotype"/>
          <w:sz w:val="24"/>
          <w:szCs w:val="24"/>
        </w:rPr>
        <w:t>L</w:t>
      </w:r>
      <w:r w:rsidR="003B537B" w:rsidRPr="00522048">
        <w:rPr>
          <w:rFonts w:ascii="Palatino Linotype" w:hAnsi="Palatino Linotype"/>
          <w:sz w:val="24"/>
          <w:szCs w:val="24"/>
        </w:rPr>
        <w:t xml:space="preserve">ei </w:t>
      </w:r>
      <w:r w:rsidR="003C6FC5" w:rsidRPr="00522048">
        <w:rPr>
          <w:rFonts w:ascii="Palatino Linotype" w:hAnsi="Palatino Linotype"/>
          <w:sz w:val="24"/>
          <w:szCs w:val="24"/>
        </w:rPr>
        <w:t>O</w:t>
      </w:r>
      <w:r w:rsidR="003B537B" w:rsidRPr="00522048">
        <w:rPr>
          <w:rFonts w:ascii="Palatino Linotype" w:hAnsi="Palatino Linotype"/>
          <w:sz w:val="24"/>
          <w:szCs w:val="24"/>
        </w:rPr>
        <w:t>rçame</w:t>
      </w:r>
      <w:r w:rsidR="003B537B" w:rsidRPr="00522048">
        <w:rPr>
          <w:rFonts w:ascii="Palatino Linotype" w:hAnsi="Palatino Linotype"/>
          <w:sz w:val="24"/>
          <w:szCs w:val="24"/>
        </w:rPr>
        <w:t>n</w:t>
      </w:r>
      <w:r w:rsidR="003B537B" w:rsidRPr="00522048">
        <w:rPr>
          <w:rFonts w:ascii="Palatino Linotype" w:hAnsi="Palatino Linotype"/>
          <w:sz w:val="24"/>
          <w:szCs w:val="24"/>
        </w:rPr>
        <w:t xml:space="preserve">tária </w:t>
      </w:r>
      <w:r w:rsidR="003C6FC5" w:rsidRPr="00522048">
        <w:rPr>
          <w:rFonts w:ascii="Palatino Linotype" w:hAnsi="Palatino Linotype"/>
          <w:sz w:val="24"/>
          <w:szCs w:val="24"/>
        </w:rPr>
        <w:t>A</w:t>
      </w:r>
      <w:r w:rsidR="003B537B" w:rsidRPr="00522048">
        <w:rPr>
          <w:rFonts w:ascii="Palatino Linotype" w:hAnsi="Palatino Linotype"/>
          <w:sz w:val="24"/>
          <w:szCs w:val="24"/>
        </w:rPr>
        <w:t>nual</w:t>
      </w:r>
      <w:r w:rsidR="003C6FC5" w:rsidRPr="00522048">
        <w:rPr>
          <w:rFonts w:ascii="Palatino Linotype" w:hAnsi="Palatino Linotype"/>
          <w:sz w:val="24"/>
          <w:szCs w:val="24"/>
        </w:rPr>
        <w:t xml:space="preserve"> – LOA,</w:t>
      </w:r>
      <w:r w:rsidR="003B537B" w:rsidRPr="00522048">
        <w:rPr>
          <w:rFonts w:ascii="Palatino Linotype" w:hAnsi="Palatino Linotype"/>
          <w:sz w:val="24"/>
          <w:szCs w:val="24"/>
        </w:rPr>
        <w:t xml:space="preserve"> conter dispositivo autorizando a contratação de operações de créd</w:t>
      </w:r>
      <w:r w:rsidR="003B537B" w:rsidRPr="00522048">
        <w:rPr>
          <w:rFonts w:ascii="Palatino Linotype" w:hAnsi="Palatino Linotype"/>
          <w:sz w:val="24"/>
          <w:szCs w:val="24"/>
        </w:rPr>
        <w:t>i</w:t>
      </w:r>
      <w:r w:rsidR="003B537B" w:rsidRPr="00522048">
        <w:rPr>
          <w:rFonts w:ascii="Palatino Linotype" w:hAnsi="Palatino Linotype"/>
          <w:sz w:val="24"/>
          <w:szCs w:val="24"/>
        </w:rPr>
        <w:t>to</w:t>
      </w:r>
      <w:r w:rsidR="0017045F" w:rsidRPr="00522048">
        <w:rPr>
          <w:rFonts w:ascii="Palatino Linotype" w:hAnsi="Palatino Linotype"/>
          <w:sz w:val="24"/>
          <w:szCs w:val="24"/>
        </w:rPr>
        <w:t>. É o que estabelece o art. 165 da Carta Magna, ao dispor sobre a contratação de operações de crédito:</w:t>
      </w:r>
    </w:p>
    <w:p w:rsidR="0017045F" w:rsidRPr="00522048" w:rsidRDefault="0017045F" w:rsidP="00080580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46128D" w:rsidRPr="00522048" w:rsidRDefault="0046128D" w:rsidP="009039C0">
      <w:pPr>
        <w:spacing w:after="0" w:line="240" w:lineRule="auto"/>
        <w:ind w:left="2829"/>
        <w:jc w:val="both"/>
        <w:rPr>
          <w:rFonts w:ascii="Palatino Linotype" w:hAnsi="Palatino Linotype"/>
        </w:rPr>
      </w:pPr>
      <w:r w:rsidRPr="00522048">
        <w:rPr>
          <w:rFonts w:ascii="Palatino Linotype" w:hAnsi="Palatino Linotype"/>
        </w:rPr>
        <w:t>Art. 165. Leis de iniciativa do Poder Executivo estabelec</w:t>
      </w:r>
      <w:r w:rsidRPr="00522048">
        <w:rPr>
          <w:rFonts w:ascii="Palatino Linotype" w:hAnsi="Palatino Linotype"/>
        </w:rPr>
        <w:t>e</w:t>
      </w:r>
      <w:r w:rsidRPr="00522048">
        <w:rPr>
          <w:rFonts w:ascii="Palatino Linotype" w:hAnsi="Palatino Linotype"/>
        </w:rPr>
        <w:t xml:space="preserve">rão: </w:t>
      </w:r>
    </w:p>
    <w:p w:rsidR="0046128D" w:rsidRPr="00522048" w:rsidRDefault="0046128D" w:rsidP="009039C0">
      <w:pPr>
        <w:spacing w:after="0" w:line="240" w:lineRule="auto"/>
        <w:ind w:left="2829"/>
        <w:jc w:val="both"/>
        <w:rPr>
          <w:rFonts w:ascii="Palatino Linotype" w:hAnsi="Palatino Linotype"/>
        </w:rPr>
      </w:pPr>
      <w:r w:rsidRPr="00522048">
        <w:rPr>
          <w:rFonts w:ascii="Palatino Linotype" w:hAnsi="Palatino Linotype"/>
        </w:rPr>
        <w:t>(...)</w:t>
      </w:r>
    </w:p>
    <w:p w:rsidR="0046128D" w:rsidRPr="00522048" w:rsidRDefault="0046128D" w:rsidP="009039C0">
      <w:pPr>
        <w:spacing w:after="0" w:line="240" w:lineRule="auto"/>
        <w:ind w:left="2829"/>
        <w:jc w:val="both"/>
        <w:rPr>
          <w:rFonts w:ascii="Palatino Linotype" w:hAnsi="Palatino Linotype"/>
        </w:rPr>
      </w:pPr>
      <w:r w:rsidRPr="00522048">
        <w:rPr>
          <w:rFonts w:ascii="Palatino Linotype" w:hAnsi="Palatino Linotype"/>
        </w:rPr>
        <w:t>§ 8º A lei orçamentária anual não conterá dispositivo e</w:t>
      </w:r>
      <w:r w:rsidRPr="00522048">
        <w:rPr>
          <w:rFonts w:ascii="Palatino Linotype" w:hAnsi="Palatino Linotype"/>
        </w:rPr>
        <w:t>s</w:t>
      </w:r>
      <w:r w:rsidRPr="00522048">
        <w:rPr>
          <w:rFonts w:ascii="Palatino Linotype" w:hAnsi="Palatino Linotype"/>
        </w:rPr>
        <w:t xml:space="preserve">tranho à previsão da receita e à fixação da despesa, </w:t>
      </w:r>
      <w:r w:rsidRPr="00522048">
        <w:rPr>
          <w:rFonts w:ascii="Palatino Linotype" w:hAnsi="Palatino Linotype"/>
          <w:b/>
        </w:rPr>
        <w:t xml:space="preserve">não se </w:t>
      </w:r>
      <w:r w:rsidRPr="00522048">
        <w:rPr>
          <w:rFonts w:ascii="Palatino Linotype" w:hAnsi="Palatino Linotype"/>
          <w:b/>
        </w:rPr>
        <w:lastRenderedPageBreak/>
        <w:t>incluindo na proibição a autorização para</w:t>
      </w:r>
      <w:r w:rsidRPr="00522048">
        <w:rPr>
          <w:rFonts w:ascii="Palatino Linotype" w:hAnsi="Palatino Linotype"/>
        </w:rPr>
        <w:t xml:space="preserve"> </w:t>
      </w:r>
      <w:r w:rsidRPr="00522048">
        <w:rPr>
          <w:rFonts w:ascii="Palatino Linotype" w:hAnsi="Palatino Linotype"/>
          <w:b/>
        </w:rPr>
        <w:t>abertura de créditos suplementares e</w:t>
      </w:r>
      <w:r w:rsidRPr="00522048">
        <w:rPr>
          <w:rFonts w:ascii="Palatino Linotype" w:hAnsi="Palatino Linotype"/>
        </w:rPr>
        <w:t xml:space="preserve"> </w:t>
      </w:r>
      <w:r w:rsidRPr="00522048">
        <w:rPr>
          <w:rFonts w:ascii="Palatino Linotype" w:hAnsi="Palatino Linotype"/>
          <w:b/>
        </w:rPr>
        <w:t>contratação de operações de crédito, ainda que por antecipação de receita</w:t>
      </w:r>
      <w:r w:rsidRPr="00522048">
        <w:rPr>
          <w:rFonts w:ascii="Palatino Linotype" w:hAnsi="Palatino Linotype"/>
        </w:rPr>
        <w:t>, nos termos da lei.</w:t>
      </w:r>
    </w:p>
    <w:p w:rsidR="004D301B" w:rsidRPr="00522048" w:rsidRDefault="004D301B" w:rsidP="004D301B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4D301B" w:rsidRPr="00522048" w:rsidRDefault="004D301B" w:rsidP="004D301B">
      <w:pPr>
        <w:spacing w:after="0"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 w:rsidRPr="00522048">
        <w:rPr>
          <w:rFonts w:ascii="Palatino Linotype" w:hAnsi="Palatino Linotype"/>
          <w:sz w:val="24"/>
          <w:szCs w:val="24"/>
        </w:rPr>
        <w:t>Por sua vez, o art. 167, IV</w:t>
      </w:r>
      <w:r w:rsidR="00C44B0F" w:rsidRPr="00522048">
        <w:rPr>
          <w:rFonts w:ascii="Palatino Linotype" w:hAnsi="Palatino Linotype"/>
          <w:sz w:val="24"/>
          <w:szCs w:val="24"/>
        </w:rPr>
        <w:t>, também</w:t>
      </w:r>
      <w:r w:rsidRPr="00522048">
        <w:rPr>
          <w:rFonts w:ascii="Palatino Linotype" w:hAnsi="Palatino Linotype"/>
          <w:sz w:val="24"/>
          <w:szCs w:val="24"/>
        </w:rPr>
        <w:t xml:space="preserve"> da Constituição Federal</w:t>
      </w:r>
      <w:r w:rsidR="00C44B0F" w:rsidRPr="00522048">
        <w:rPr>
          <w:rFonts w:ascii="Palatino Linotype" w:hAnsi="Palatino Linotype"/>
          <w:sz w:val="24"/>
          <w:szCs w:val="24"/>
        </w:rPr>
        <w:t>,</w:t>
      </w:r>
      <w:r w:rsidRPr="00522048">
        <w:rPr>
          <w:rFonts w:ascii="Palatino Linotype" w:hAnsi="Palatino Linotype"/>
          <w:sz w:val="24"/>
          <w:szCs w:val="24"/>
        </w:rPr>
        <w:t xml:space="preserve"> abre exceção para permitir a vinculação de receita de impostos à prestação de garantias às operações de crédito por antecipação de receita, nos termos do que pretende o PL nº 0</w:t>
      </w:r>
      <w:r w:rsidR="003C6FC5" w:rsidRPr="00522048">
        <w:rPr>
          <w:rFonts w:ascii="Palatino Linotype" w:hAnsi="Palatino Linotype"/>
          <w:sz w:val="24"/>
          <w:szCs w:val="24"/>
        </w:rPr>
        <w:t>33</w:t>
      </w:r>
      <w:r w:rsidRPr="00522048">
        <w:rPr>
          <w:rFonts w:ascii="Palatino Linotype" w:hAnsi="Palatino Linotype"/>
          <w:sz w:val="24"/>
          <w:szCs w:val="24"/>
        </w:rPr>
        <w:t>/20</w:t>
      </w:r>
      <w:r w:rsidR="003C6FC5" w:rsidRPr="00522048">
        <w:rPr>
          <w:rFonts w:ascii="Palatino Linotype" w:hAnsi="Palatino Linotype"/>
          <w:sz w:val="24"/>
          <w:szCs w:val="24"/>
        </w:rPr>
        <w:t>2</w:t>
      </w:r>
      <w:r w:rsidRPr="00522048">
        <w:rPr>
          <w:rFonts w:ascii="Palatino Linotype" w:hAnsi="Palatino Linotype"/>
          <w:sz w:val="24"/>
          <w:szCs w:val="24"/>
        </w:rPr>
        <w:t>1 em seu artigo 2º:</w:t>
      </w:r>
    </w:p>
    <w:p w:rsidR="004D301B" w:rsidRPr="00522048" w:rsidRDefault="004D301B" w:rsidP="004D301B">
      <w:pPr>
        <w:spacing w:after="0"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</w:p>
    <w:p w:rsidR="00EA3AA4" w:rsidRPr="00522048" w:rsidRDefault="00EA3AA4" w:rsidP="009039C0">
      <w:pPr>
        <w:spacing w:after="0" w:line="240" w:lineRule="auto"/>
        <w:ind w:left="2829"/>
        <w:jc w:val="both"/>
        <w:rPr>
          <w:rFonts w:ascii="Palatino Linotype" w:hAnsi="Palatino Linotype"/>
        </w:rPr>
      </w:pPr>
      <w:r w:rsidRPr="00522048">
        <w:rPr>
          <w:rFonts w:ascii="Palatino Linotype" w:hAnsi="Palatino Linotype"/>
        </w:rPr>
        <w:t>Art. 167. São vedados:</w:t>
      </w:r>
    </w:p>
    <w:p w:rsidR="00EA3AA4" w:rsidRPr="00522048" w:rsidRDefault="00EA3AA4" w:rsidP="009039C0">
      <w:pPr>
        <w:spacing w:after="0" w:line="240" w:lineRule="auto"/>
        <w:ind w:left="2829"/>
        <w:jc w:val="both"/>
        <w:rPr>
          <w:rFonts w:ascii="Palatino Linotype" w:hAnsi="Palatino Linotype"/>
        </w:rPr>
      </w:pPr>
      <w:r w:rsidRPr="00522048">
        <w:rPr>
          <w:rFonts w:ascii="Palatino Linotype" w:hAnsi="Palatino Linotype"/>
        </w:rPr>
        <w:t>(...)</w:t>
      </w:r>
    </w:p>
    <w:p w:rsidR="00EA3AA4" w:rsidRPr="00522048" w:rsidRDefault="00EA3AA4" w:rsidP="009039C0">
      <w:pPr>
        <w:spacing w:after="0" w:line="240" w:lineRule="auto"/>
        <w:ind w:left="2829"/>
        <w:jc w:val="both"/>
        <w:rPr>
          <w:rFonts w:ascii="Palatino Linotype" w:hAnsi="Palatino Linotype"/>
        </w:rPr>
      </w:pPr>
      <w:r w:rsidRPr="00522048">
        <w:rPr>
          <w:rFonts w:ascii="Palatino Linotype" w:hAnsi="Palatino Linotype"/>
        </w:rPr>
        <w:t xml:space="preserve">IV - a vinculação de receita de impostos a órgão, fundo ou despesa, </w:t>
      </w:r>
      <w:r w:rsidRPr="00522048">
        <w:rPr>
          <w:rFonts w:ascii="Palatino Linotype" w:hAnsi="Palatino Linotype"/>
          <w:b/>
          <w:u w:val="single"/>
        </w:rPr>
        <w:t>ressalvadas</w:t>
      </w:r>
      <w:r w:rsidRPr="00522048">
        <w:rPr>
          <w:rFonts w:ascii="Palatino Linotype" w:hAnsi="Palatino Linotype"/>
        </w:rPr>
        <w:t xml:space="preserve"> </w:t>
      </w:r>
      <w:r w:rsidRPr="00522048">
        <w:rPr>
          <w:rFonts w:ascii="Palatino Linotype" w:hAnsi="Palatino Linotype"/>
          <w:b/>
          <w:u w:val="single"/>
        </w:rPr>
        <w:t>a repartição do produto da arrec</w:t>
      </w:r>
      <w:r w:rsidRPr="00522048">
        <w:rPr>
          <w:rFonts w:ascii="Palatino Linotype" w:hAnsi="Palatino Linotype"/>
          <w:b/>
          <w:u w:val="single"/>
        </w:rPr>
        <w:t>a</w:t>
      </w:r>
      <w:r w:rsidRPr="00522048">
        <w:rPr>
          <w:rFonts w:ascii="Palatino Linotype" w:hAnsi="Palatino Linotype"/>
          <w:b/>
          <w:u w:val="single"/>
        </w:rPr>
        <w:t>dação dos impostos a que se referem os arts. 158 e 159</w:t>
      </w:r>
      <w:r w:rsidRPr="00522048">
        <w:rPr>
          <w:rFonts w:ascii="Palatino Linotype" w:hAnsi="Palatino Linotype"/>
        </w:rPr>
        <w:t>, a destinação de recursos para as ações e serviços públicos de saúde, para m</w:t>
      </w:r>
      <w:r w:rsidRPr="00522048">
        <w:rPr>
          <w:rFonts w:ascii="Palatino Linotype" w:hAnsi="Palatino Linotype"/>
        </w:rPr>
        <w:t>a</w:t>
      </w:r>
      <w:r w:rsidRPr="00522048">
        <w:rPr>
          <w:rFonts w:ascii="Palatino Linotype" w:hAnsi="Palatino Linotype"/>
        </w:rPr>
        <w:t>nutenção e desenvolvimento do ensino e para realização de atividades da administração tribut</w:t>
      </w:r>
      <w:r w:rsidRPr="00522048">
        <w:rPr>
          <w:rFonts w:ascii="Palatino Linotype" w:hAnsi="Palatino Linotype"/>
        </w:rPr>
        <w:t>á</w:t>
      </w:r>
      <w:r w:rsidRPr="00522048">
        <w:rPr>
          <w:rFonts w:ascii="Palatino Linotype" w:hAnsi="Palatino Linotype"/>
        </w:rPr>
        <w:t>ria, como determinado, re</w:t>
      </w:r>
      <w:r w:rsidRPr="00522048">
        <w:rPr>
          <w:rFonts w:ascii="Palatino Linotype" w:hAnsi="Palatino Linotype"/>
        </w:rPr>
        <w:t>s</w:t>
      </w:r>
      <w:r w:rsidRPr="00522048">
        <w:rPr>
          <w:rFonts w:ascii="Palatino Linotype" w:hAnsi="Palatino Linotype"/>
        </w:rPr>
        <w:t xml:space="preserve">pectivamente, pelos arts. 198, § 2º, 212 e 37, XXII, e </w:t>
      </w:r>
      <w:r w:rsidRPr="00522048">
        <w:rPr>
          <w:rFonts w:ascii="Palatino Linotype" w:hAnsi="Palatino Linotype"/>
          <w:b/>
          <w:u w:val="single"/>
        </w:rPr>
        <w:t>a prest</w:t>
      </w:r>
      <w:r w:rsidRPr="00522048">
        <w:rPr>
          <w:rFonts w:ascii="Palatino Linotype" w:hAnsi="Palatino Linotype"/>
          <w:b/>
          <w:u w:val="single"/>
        </w:rPr>
        <w:t>a</w:t>
      </w:r>
      <w:r w:rsidRPr="00522048">
        <w:rPr>
          <w:rFonts w:ascii="Palatino Linotype" w:hAnsi="Palatino Linotype"/>
          <w:b/>
          <w:u w:val="single"/>
        </w:rPr>
        <w:t>ção de garantias às operações de crédito por antecipação de receita, previstas no art. 165, § 8º, bem como o disposto no § 4º deste artigo</w:t>
      </w:r>
      <w:r w:rsidRPr="00522048">
        <w:rPr>
          <w:rFonts w:ascii="Palatino Linotype" w:hAnsi="Palatino Linotype"/>
        </w:rPr>
        <w:t>;</w:t>
      </w:r>
    </w:p>
    <w:p w:rsidR="001F7FAA" w:rsidRPr="00522048" w:rsidRDefault="001F7FAA" w:rsidP="00266DEF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</w:p>
    <w:p w:rsidR="00917C86" w:rsidRPr="00522048" w:rsidRDefault="00383D64" w:rsidP="00917C86">
      <w:pPr>
        <w:spacing w:after="0" w:line="360" w:lineRule="auto"/>
        <w:ind w:firstLine="1134"/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522048">
        <w:rPr>
          <w:rFonts w:ascii="Palatino Linotype" w:hAnsi="Palatino Linotype"/>
          <w:sz w:val="24"/>
          <w:szCs w:val="24"/>
        </w:rPr>
        <w:t>Especificamente no que diz respeito à alteração pretendida no art. 2º da proposta, e</w:t>
      </w:r>
      <w:r w:rsidR="00917C86" w:rsidRPr="00522048">
        <w:rPr>
          <w:rFonts w:ascii="Palatino Linotype" w:hAnsi="Palatino Linotype"/>
          <w:sz w:val="24"/>
          <w:szCs w:val="24"/>
        </w:rPr>
        <w:t>m relação à vinculação de receitas decorrentes de transferências constit</w:t>
      </w:r>
      <w:r w:rsidR="00917C86" w:rsidRPr="00522048">
        <w:rPr>
          <w:rFonts w:ascii="Palatino Linotype" w:hAnsi="Palatino Linotype"/>
          <w:sz w:val="24"/>
          <w:szCs w:val="24"/>
        </w:rPr>
        <w:t>u</w:t>
      </w:r>
      <w:r w:rsidR="00917C86" w:rsidRPr="00522048">
        <w:rPr>
          <w:rFonts w:ascii="Palatino Linotype" w:hAnsi="Palatino Linotype"/>
          <w:sz w:val="24"/>
          <w:szCs w:val="24"/>
        </w:rPr>
        <w:t>cionais para a prestação de garantia à operação de crédito (art. 158 da CF),</w:t>
      </w:r>
      <w:r w:rsidRPr="00522048">
        <w:rPr>
          <w:rFonts w:ascii="Palatino Linotype" w:hAnsi="Palatino Linotype"/>
          <w:sz w:val="24"/>
          <w:szCs w:val="24"/>
        </w:rPr>
        <w:t xml:space="preserve"> </w:t>
      </w:r>
      <w:r w:rsidRPr="00522048">
        <w:rPr>
          <w:rFonts w:ascii="Palatino Linotype" w:hAnsi="Palatino Linotype"/>
          <w:b/>
          <w:sz w:val="24"/>
          <w:szCs w:val="24"/>
          <w:u w:val="single"/>
        </w:rPr>
        <w:t>o PAR</w:t>
      </w:r>
      <w:r w:rsidRPr="00522048">
        <w:rPr>
          <w:rFonts w:ascii="Palatino Linotype" w:hAnsi="Palatino Linotype"/>
          <w:b/>
          <w:sz w:val="24"/>
          <w:szCs w:val="24"/>
          <w:u w:val="single"/>
        </w:rPr>
        <w:t>E</w:t>
      </w:r>
      <w:r w:rsidRPr="00522048">
        <w:rPr>
          <w:rFonts w:ascii="Palatino Linotype" w:hAnsi="Palatino Linotype"/>
          <w:b/>
          <w:sz w:val="24"/>
          <w:szCs w:val="24"/>
          <w:u w:val="single"/>
        </w:rPr>
        <w:t>CER Nº GMF-07, de lavra da então Advogada-Geral da União referendou o entendimento pela possibilidade de que nos termos do art. 167, IV e § 4º, da CF, os recursos vinc</w:t>
      </w:r>
      <w:r w:rsidRPr="00522048">
        <w:rPr>
          <w:rFonts w:ascii="Palatino Linotype" w:hAnsi="Palatino Linotype"/>
          <w:b/>
          <w:sz w:val="24"/>
          <w:szCs w:val="24"/>
          <w:u w:val="single"/>
        </w:rPr>
        <w:t>u</w:t>
      </w:r>
      <w:r w:rsidRPr="00522048">
        <w:rPr>
          <w:rFonts w:ascii="Palatino Linotype" w:hAnsi="Palatino Linotype"/>
          <w:b/>
          <w:sz w:val="24"/>
          <w:szCs w:val="24"/>
          <w:u w:val="single"/>
        </w:rPr>
        <w:t>lados a fundos de participação, ofertados pelos Estados, Distrito Federal e Municípios, possam ser aceitos como gara</w:t>
      </w:r>
      <w:r w:rsidRPr="00522048">
        <w:rPr>
          <w:rFonts w:ascii="Palatino Linotype" w:hAnsi="Palatino Linotype"/>
          <w:b/>
          <w:sz w:val="24"/>
          <w:szCs w:val="24"/>
          <w:u w:val="single"/>
        </w:rPr>
        <w:t>n</w:t>
      </w:r>
      <w:r w:rsidRPr="00522048">
        <w:rPr>
          <w:rFonts w:ascii="Palatino Linotype" w:hAnsi="Palatino Linotype"/>
          <w:b/>
          <w:sz w:val="24"/>
          <w:szCs w:val="24"/>
          <w:u w:val="single"/>
        </w:rPr>
        <w:t>tia nas operações celebradas por entes subnacionais com as instituições f</w:t>
      </w:r>
      <w:r w:rsidRPr="00522048">
        <w:rPr>
          <w:rFonts w:ascii="Palatino Linotype" w:hAnsi="Palatino Linotype"/>
          <w:b/>
          <w:sz w:val="24"/>
          <w:szCs w:val="24"/>
          <w:u w:val="single"/>
        </w:rPr>
        <w:t>i</w:t>
      </w:r>
      <w:r w:rsidRPr="00522048">
        <w:rPr>
          <w:rFonts w:ascii="Palatino Linotype" w:hAnsi="Palatino Linotype"/>
          <w:b/>
          <w:sz w:val="24"/>
          <w:szCs w:val="24"/>
          <w:u w:val="single"/>
        </w:rPr>
        <w:t>nanceiras federais, a exemplo da Caixa Econômica Fed</w:t>
      </w:r>
      <w:r w:rsidRPr="00522048">
        <w:rPr>
          <w:rFonts w:ascii="Palatino Linotype" w:hAnsi="Palatino Linotype"/>
          <w:b/>
          <w:sz w:val="24"/>
          <w:szCs w:val="24"/>
          <w:u w:val="single"/>
        </w:rPr>
        <w:t>e</w:t>
      </w:r>
      <w:r w:rsidRPr="00522048">
        <w:rPr>
          <w:rFonts w:ascii="Palatino Linotype" w:hAnsi="Palatino Linotype"/>
          <w:b/>
          <w:sz w:val="24"/>
          <w:szCs w:val="24"/>
          <w:u w:val="single"/>
        </w:rPr>
        <w:t>ral</w:t>
      </w:r>
      <w:r w:rsidR="00917C86" w:rsidRPr="00522048">
        <w:rPr>
          <w:rFonts w:ascii="Palatino Linotype" w:hAnsi="Palatino Linotype"/>
          <w:b/>
          <w:sz w:val="24"/>
          <w:szCs w:val="24"/>
          <w:u w:val="single"/>
        </w:rPr>
        <w:t>.</w:t>
      </w:r>
    </w:p>
    <w:p w:rsidR="00917C86" w:rsidRPr="00522048" w:rsidRDefault="00917C86" w:rsidP="00917C86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</w:p>
    <w:p w:rsidR="00917C86" w:rsidRPr="00522048" w:rsidRDefault="00917C86" w:rsidP="00917C86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522048">
        <w:rPr>
          <w:rFonts w:ascii="Palatino Linotype" w:hAnsi="Palatino Linotype"/>
          <w:sz w:val="24"/>
          <w:szCs w:val="24"/>
        </w:rPr>
        <w:lastRenderedPageBreak/>
        <w:t xml:space="preserve">Essa é </w:t>
      </w:r>
      <w:r w:rsidR="00093582" w:rsidRPr="00522048">
        <w:rPr>
          <w:rFonts w:ascii="Palatino Linotype" w:hAnsi="Palatino Linotype"/>
          <w:sz w:val="24"/>
          <w:szCs w:val="24"/>
        </w:rPr>
        <w:t xml:space="preserve">ainda </w:t>
      </w:r>
      <w:r w:rsidRPr="00522048">
        <w:rPr>
          <w:rFonts w:ascii="Palatino Linotype" w:hAnsi="Palatino Linotype"/>
          <w:sz w:val="24"/>
          <w:szCs w:val="24"/>
        </w:rPr>
        <w:t>a interpretação da Procuradoria-Geral do Município de São Paulo, a qual, no Parecer nº 11.776/2017</w:t>
      </w:r>
      <w:bookmarkStart w:id="0" w:name="_ftnref4"/>
      <w:r w:rsidR="00FC655F" w:rsidRPr="00522048">
        <w:rPr>
          <w:rFonts w:ascii="Palatino Linotype" w:hAnsi="Palatino Linotype"/>
          <w:sz w:val="24"/>
          <w:szCs w:val="24"/>
        </w:rPr>
        <w:fldChar w:fldCharType="begin"/>
      </w:r>
      <w:r w:rsidRPr="00522048">
        <w:rPr>
          <w:rFonts w:ascii="Palatino Linotype" w:hAnsi="Palatino Linotype"/>
          <w:sz w:val="24"/>
          <w:szCs w:val="24"/>
        </w:rPr>
        <w:instrText xml:space="preserve"> HYPERLINK "https://www.camaraguaiba.rs.gov.br/portal/tramitacao.texto.php?id=71403&amp;md5=5673437c8ff9eb1a3700c7190b221c2b" \l "_ftn4" </w:instrText>
      </w:r>
      <w:r w:rsidR="00FC655F" w:rsidRPr="00522048">
        <w:rPr>
          <w:rFonts w:ascii="Palatino Linotype" w:hAnsi="Palatino Linotype"/>
          <w:sz w:val="24"/>
          <w:szCs w:val="24"/>
        </w:rPr>
        <w:fldChar w:fldCharType="separate"/>
      </w:r>
      <w:r w:rsidRPr="00522048">
        <w:rPr>
          <w:rFonts w:ascii="Palatino Linotype" w:hAnsi="Palatino Linotype"/>
          <w:sz w:val="24"/>
          <w:szCs w:val="24"/>
        </w:rPr>
        <w:t>[4]</w:t>
      </w:r>
      <w:r w:rsidR="00FC655F" w:rsidRPr="00522048">
        <w:rPr>
          <w:rFonts w:ascii="Palatino Linotype" w:hAnsi="Palatino Linotype"/>
          <w:sz w:val="24"/>
          <w:szCs w:val="24"/>
        </w:rPr>
        <w:fldChar w:fldCharType="end"/>
      </w:r>
      <w:bookmarkEnd w:id="0"/>
      <w:r w:rsidRPr="00522048">
        <w:rPr>
          <w:rFonts w:ascii="Palatino Linotype" w:hAnsi="Palatino Linotype"/>
          <w:sz w:val="24"/>
          <w:szCs w:val="24"/>
        </w:rPr>
        <w:t>, assim explanou:</w:t>
      </w:r>
    </w:p>
    <w:p w:rsidR="00917C86" w:rsidRPr="00522048" w:rsidRDefault="00917C86" w:rsidP="00917C86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</w:p>
    <w:p w:rsidR="00917C86" w:rsidRPr="00522048" w:rsidRDefault="00917C86" w:rsidP="00917C86">
      <w:pPr>
        <w:spacing w:after="0" w:line="240" w:lineRule="auto"/>
        <w:ind w:left="2832"/>
        <w:jc w:val="both"/>
        <w:rPr>
          <w:rFonts w:ascii="Palatino Linotype" w:hAnsi="Palatino Linotype"/>
        </w:rPr>
      </w:pPr>
      <w:r w:rsidRPr="00522048">
        <w:rPr>
          <w:rFonts w:ascii="Palatino Linotype" w:hAnsi="Palatino Linotype"/>
        </w:rPr>
        <w:t>Nenhuma das interpretações é despida de lógica, mas a primeira continua nos parecendo melhor. Para os entes que recebem transferências, a receita em questão não se trata de rece</w:t>
      </w:r>
      <w:r w:rsidRPr="00522048">
        <w:rPr>
          <w:rFonts w:ascii="Palatino Linotype" w:hAnsi="Palatino Linotype"/>
        </w:rPr>
        <w:t>i</w:t>
      </w:r>
      <w:r w:rsidRPr="00522048">
        <w:rPr>
          <w:rFonts w:ascii="Palatino Linotype" w:hAnsi="Palatino Linotype"/>
        </w:rPr>
        <w:t>ta de impostos ou mesmo tributária, pois não foram arrecad</w:t>
      </w:r>
      <w:r w:rsidRPr="00522048">
        <w:rPr>
          <w:rFonts w:ascii="Palatino Linotype" w:hAnsi="Palatino Linotype"/>
        </w:rPr>
        <w:t>a</w:t>
      </w:r>
      <w:r w:rsidRPr="00522048">
        <w:rPr>
          <w:rFonts w:ascii="Palatino Linotype" w:hAnsi="Palatino Linotype"/>
        </w:rPr>
        <w:t>das pelo ente por meio de tributos. Trata-se de ingresso corrente derivada da repartição constit</w:t>
      </w:r>
      <w:r w:rsidRPr="00522048">
        <w:rPr>
          <w:rFonts w:ascii="Palatino Linotype" w:hAnsi="Palatino Linotype"/>
        </w:rPr>
        <w:t>u</w:t>
      </w:r>
      <w:r w:rsidRPr="00522048">
        <w:rPr>
          <w:rFonts w:ascii="Palatino Linotype" w:hAnsi="Palatino Linotype"/>
        </w:rPr>
        <w:t>cional de receitas prevista na Constituição -- mais espec</w:t>
      </w:r>
      <w:r w:rsidRPr="00522048">
        <w:rPr>
          <w:rFonts w:ascii="Palatino Linotype" w:hAnsi="Palatino Linotype"/>
        </w:rPr>
        <w:t>i</w:t>
      </w:r>
      <w:r w:rsidRPr="00522048">
        <w:rPr>
          <w:rFonts w:ascii="Palatino Linotype" w:hAnsi="Palatino Linotype"/>
        </w:rPr>
        <w:t>ficamente, de transferências correntes, cf. art. 11 da Lei federal nº 4.320. Portanto, se para o Estado a receita der</w:t>
      </w:r>
      <w:r w:rsidRPr="00522048">
        <w:rPr>
          <w:rFonts w:ascii="Palatino Linotype" w:hAnsi="Palatino Linotype"/>
        </w:rPr>
        <w:t>i</w:t>
      </w:r>
      <w:r w:rsidRPr="00522048">
        <w:rPr>
          <w:rFonts w:ascii="Palatino Linotype" w:hAnsi="Palatino Linotype"/>
        </w:rPr>
        <w:t>vada da arrecadação de ICMS seria uma 'receita de i</w:t>
      </w:r>
      <w:r w:rsidRPr="00522048">
        <w:rPr>
          <w:rFonts w:ascii="Palatino Linotype" w:hAnsi="Palatino Linotype"/>
        </w:rPr>
        <w:t>m</w:t>
      </w:r>
      <w:r w:rsidRPr="00522048">
        <w:rPr>
          <w:rFonts w:ascii="Palatino Linotype" w:hAnsi="Palatino Linotype"/>
        </w:rPr>
        <w:t>postos' (não passível de vinculação, portanto), para os Municípios recebedores da transferência constitucional seria uma receita não-tributária. Ela perderia, portanto, a qu</w:t>
      </w:r>
      <w:r w:rsidRPr="00522048">
        <w:rPr>
          <w:rFonts w:ascii="Palatino Linotype" w:hAnsi="Palatino Linotype"/>
        </w:rPr>
        <w:t>a</w:t>
      </w:r>
      <w:r w:rsidRPr="00522048">
        <w:rPr>
          <w:rFonts w:ascii="Palatino Linotype" w:hAnsi="Palatino Linotype"/>
        </w:rPr>
        <w:t>lidade de' receita de impostos'.</w:t>
      </w:r>
    </w:p>
    <w:p w:rsidR="00917C86" w:rsidRPr="00522048" w:rsidRDefault="00917C86" w:rsidP="00917C86">
      <w:pPr>
        <w:spacing w:after="0" w:line="240" w:lineRule="auto"/>
        <w:ind w:left="2832"/>
        <w:jc w:val="both"/>
        <w:rPr>
          <w:rFonts w:ascii="Palatino Linotype" w:hAnsi="Palatino Linotype"/>
        </w:rPr>
      </w:pPr>
      <w:r w:rsidRPr="00522048">
        <w:rPr>
          <w:rFonts w:ascii="Palatino Linotype" w:hAnsi="Palatino Linotype"/>
        </w:rPr>
        <w:t>[...]</w:t>
      </w:r>
    </w:p>
    <w:p w:rsidR="00917C86" w:rsidRPr="00522048" w:rsidRDefault="00917C86" w:rsidP="00917C86">
      <w:pPr>
        <w:spacing w:after="0" w:line="240" w:lineRule="auto"/>
        <w:ind w:left="2832"/>
        <w:jc w:val="both"/>
        <w:rPr>
          <w:rFonts w:ascii="Palatino Linotype" w:hAnsi="Palatino Linotype"/>
        </w:rPr>
      </w:pPr>
      <w:r w:rsidRPr="00522048">
        <w:rPr>
          <w:rFonts w:ascii="Palatino Linotype" w:hAnsi="Palatino Linotype"/>
        </w:rPr>
        <w:t>Ademais, parece-nos que, se o constituinte pretendesse incluir na vedação de vinculação a receita oriunda das transferências constitucionais, ele poderia tê-lo feito de forma expressa, proibindo a vinculação da receita de i</w:t>
      </w:r>
      <w:r w:rsidRPr="00522048">
        <w:rPr>
          <w:rFonts w:ascii="Palatino Linotype" w:hAnsi="Palatino Linotype"/>
        </w:rPr>
        <w:t>m</w:t>
      </w:r>
      <w:r w:rsidRPr="00522048">
        <w:rPr>
          <w:rFonts w:ascii="Palatino Linotype" w:hAnsi="Palatino Linotype"/>
        </w:rPr>
        <w:t>postos e da receita oriunda de transferências derivadas da repartição da receita de impo</w:t>
      </w:r>
      <w:r w:rsidRPr="00522048">
        <w:rPr>
          <w:rFonts w:ascii="Palatino Linotype" w:hAnsi="Palatino Linotype"/>
        </w:rPr>
        <w:t>s</w:t>
      </w:r>
      <w:r w:rsidRPr="00522048">
        <w:rPr>
          <w:rFonts w:ascii="Palatino Linotype" w:hAnsi="Palatino Linotype"/>
        </w:rPr>
        <w:t>tos. Ou poderia ter proibido a vinculação de qualquer receita tributária, salvo as rece</w:t>
      </w:r>
      <w:r w:rsidRPr="00522048">
        <w:rPr>
          <w:rFonts w:ascii="Palatino Linotype" w:hAnsi="Palatino Linotype"/>
        </w:rPr>
        <w:t>i</w:t>
      </w:r>
      <w:r w:rsidRPr="00522048">
        <w:rPr>
          <w:rFonts w:ascii="Palatino Linotype" w:hAnsi="Palatino Linotype"/>
        </w:rPr>
        <w:t>tas dos tributos naturalmente vinculados (taxas e contr</w:t>
      </w:r>
      <w:r w:rsidRPr="00522048">
        <w:rPr>
          <w:rFonts w:ascii="Palatino Linotype" w:hAnsi="Palatino Linotype"/>
        </w:rPr>
        <w:t>i</w:t>
      </w:r>
      <w:r w:rsidRPr="00522048">
        <w:rPr>
          <w:rFonts w:ascii="Palatino Linotype" w:hAnsi="Palatino Linotype"/>
        </w:rPr>
        <w:t>buições). Vale ressaltar que a repartição das receitas trib</w:t>
      </w:r>
      <w:r w:rsidRPr="00522048">
        <w:rPr>
          <w:rFonts w:ascii="Palatino Linotype" w:hAnsi="Palatino Linotype"/>
        </w:rPr>
        <w:t>u</w:t>
      </w:r>
      <w:r w:rsidRPr="00522048">
        <w:rPr>
          <w:rFonts w:ascii="Palatino Linotype" w:hAnsi="Palatino Linotype"/>
        </w:rPr>
        <w:t>tárias é tratada, na Constituição, em seção diversa das s</w:t>
      </w:r>
      <w:r w:rsidRPr="00522048">
        <w:rPr>
          <w:rFonts w:ascii="Palatino Linotype" w:hAnsi="Palatino Linotype"/>
        </w:rPr>
        <w:t>e</w:t>
      </w:r>
      <w:r w:rsidRPr="00522048">
        <w:rPr>
          <w:rFonts w:ascii="Palatino Linotype" w:hAnsi="Palatino Linotype"/>
        </w:rPr>
        <w:t>ções referentes aos impostos dos entes federativos.</w:t>
      </w:r>
    </w:p>
    <w:p w:rsidR="00917C86" w:rsidRPr="00522048" w:rsidRDefault="00917C86" w:rsidP="00917C86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</w:p>
    <w:p w:rsidR="003A6FD2" w:rsidRPr="00522048" w:rsidRDefault="003A6FD2" w:rsidP="003A6FD2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522048">
        <w:rPr>
          <w:rFonts w:ascii="Palatino Linotype" w:hAnsi="Palatino Linotype"/>
          <w:sz w:val="24"/>
          <w:szCs w:val="24"/>
        </w:rPr>
        <w:t>A jurisprudência dos Tribunais já admitiu a vinculação das receitas de tran</w:t>
      </w:r>
      <w:r w:rsidRPr="00522048">
        <w:rPr>
          <w:rFonts w:ascii="Palatino Linotype" w:hAnsi="Palatino Linotype"/>
          <w:sz w:val="24"/>
          <w:szCs w:val="24"/>
        </w:rPr>
        <w:t>s</w:t>
      </w:r>
      <w:r w:rsidRPr="00522048">
        <w:rPr>
          <w:rFonts w:ascii="Palatino Linotype" w:hAnsi="Palatino Linotype"/>
          <w:sz w:val="24"/>
          <w:szCs w:val="24"/>
        </w:rPr>
        <w:t>ferências constitucionais:</w:t>
      </w:r>
    </w:p>
    <w:p w:rsidR="00FB6DA3" w:rsidRPr="00522048" w:rsidRDefault="00FB6DA3" w:rsidP="003A6FD2">
      <w:pPr>
        <w:spacing w:after="0" w:line="240" w:lineRule="auto"/>
        <w:ind w:left="2832"/>
        <w:jc w:val="both"/>
        <w:rPr>
          <w:rFonts w:ascii="Palatino Linotype" w:hAnsi="Palatino Linotype"/>
        </w:rPr>
      </w:pPr>
    </w:p>
    <w:p w:rsidR="003A6FD2" w:rsidRPr="00522048" w:rsidRDefault="003A6FD2" w:rsidP="003A6FD2">
      <w:pPr>
        <w:spacing w:after="0" w:line="240" w:lineRule="auto"/>
        <w:ind w:left="2832"/>
        <w:jc w:val="both"/>
        <w:rPr>
          <w:rFonts w:ascii="Palatino Linotype" w:hAnsi="Palatino Linotype"/>
        </w:rPr>
      </w:pPr>
      <w:r w:rsidRPr="00522048">
        <w:rPr>
          <w:rFonts w:ascii="Palatino Linotype" w:hAnsi="Palatino Linotype"/>
        </w:rPr>
        <w:t>ARGUIÇÃO DE INCONSTITUCIONALIDADE - </w:t>
      </w:r>
      <w:r w:rsidRPr="00522048">
        <w:rPr>
          <w:rFonts w:ascii="Palatino Linotype" w:hAnsi="Palatino Linotype"/>
          <w:b/>
          <w:bCs/>
        </w:rPr>
        <w:t>NORMA MUNICIPAL AUTORIZANDO O PODER EXECUTIVO A VINCULAR REPASSE DE ICMS AO CUMPRIMENTO DE OBRIGAÇÃO CELEBRADA COM CONCESSIONÁRIA DE SERVIÇO PÚBLICO - VEDAÇÃO DO ART. 167, IV, CF - INAPLICABILID</w:t>
      </w:r>
      <w:r w:rsidRPr="00522048">
        <w:rPr>
          <w:rFonts w:ascii="Palatino Linotype" w:hAnsi="Palatino Linotype"/>
          <w:b/>
          <w:bCs/>
        </w:rPr>
        <w:t>A</w:t>
      </w:r>
      <w:r w:rsidRPr="00522048">
        <w:rPr>
          <w:rFonts w:ascii="Palatino Linotype" w:hAnsi="Palatino Linotype"/>
          <w:b/>
          <w:bCs/>
        </w:rPr>
        <w:t>DE - NORMA QUE SE APLICA APENAS AOS TRIB</w:t>
      </w:r>
      <w:r w:rsidRPr="00522048">
        <w:rPr>
          <w:rFonts w:ascii="Palatino Linotype" w:hAnsi="Palatino Linotype"/>
          <w:b/>
          <w:bCs/>
        </w:rPr>
        <w:t>U</w:t>
      </w:r>
      <w:r w:rsidRPr="00522048">
        <w:rPr>
          <w:rFonts w:ascii="Palatino Linotype" w:hAnsi="Palatino Linotype"/>
          <w:b/>
          <w:bCs/>
        </w:rPr>
        <w:t>TOS PRÓPRIOS E NÃO AOS REPASSES - ORIENT</w:t>
      </w:r>
      <w:r w:rsidRPr="00522048">
        <w:rPr>
          <w:rFonts w:ascii="Palatino Linotype" w:hAnsi="Palatino Linotype"/>
          <w:b/>
          <w:bCs/>
        </w:rPr>
        <w:t>A</w:t>
      </w:r>
      <w:r w:rsidRPr="00522048">
        <w:rPr>
          <w:rFonts w:ascii="Palatino Linotype" w:hAnsi="Palatino Linotype"/>
          <w:b/>
          <w:bCs/>
        </w:rPr>
        <w:lastRenderedPageBreak/>
        <w:t>ÇÃO SEDIMENTADA PELO PRETÓRIO E</w:t>
      </w:r>
      <w:r w:rsidRPr="00522048">
        <w:rPr>
          <w:rFonts w:ascii="Palatino Linotype" w:hAnsi="Palatino Linotype"/>
          <w:b/>
          <w:bCs/>
        </w:rPr>
        <w:t>X</w:t>
      </w:r>
      <w:r w:rsidRPr="00522048">
        <w:rPr>
          <w:rFonts w:ascii="Palatino Linotype" w:hAnsi="Palatino Linotype"/>
          <w:b/>
          <w:bCs/>
        </w:rPr>
        <w:t>CELSO. 1. O e. Supremo Tribunal Federal, a quem compete em ú</w:t>
      </w:r>
      <w:r w:rsidRPr="00522048">
        <w:rPr>
          <w:rFonts w:ascii="Palatino Linotype" w:hAnsi="Palatino Linotype"/>
          <w:b/>
          <w:bCs/>
        </w:rPr>
        <w:t>l</w:t>
      </w:r>
      <w:r w:rsidRPr="00522048">
        <w:rPr>
          <w:rFonts w:ascii="Palatino Linotype" w:hAnsi="Palatino Linotype"/>
          <w:b/>
          <w:bCs/>
        </w:rPr>
        <w:t>tima instância consolidar exegese sobre o conteúdo de norma constitucional, sedimentou entendimento no se</w:t>
      </w:r>
      <w:r w:rsidRPr="00522048">
        <w:rPr>
          <w:rFonts w:ascii="Palatino Linotype" w:hAnsi="Palatino Linotype"/>
          <w:b/>
          <w:bCs/>
        </w:rPr>
        <w:t>n</w:t>
      </w:r>
      <w:r w:rsidRPr="00522048">
        <w:rPr>
          <w:rFonts w:ascii="Palatino Linotype" w:hAnsi="Palatino Linotype"/>
          <w:b/>
          <w:bCs/>
        </w:rPr>
        <w:t>tido de que a vedação de que trata o inciso IV, do art 167, da lei maior, não se aplica aos repasses de ICMS. Destarte, como o art. 160, da Constituição Federal, trata de limitação imposta ao ente responsável pela realização da transferência, e não àquele por ela beneficiada, con</w:t>
      </w:r>
      <w:r w:rsidRPr="00522048">
        <w:rPr>
          <w:rFonts w:ascii="Palatino Linotype" w:hAnsi="Palatino Linotype"/>
          <w:b/>
          <w:bCs/>
        </w:rPr>
        <w:t>s</w:t>
      </w:r>
      <w:r w:rsidRPr="00522048">
        <w:rPr>
          <w:rFonts w:ascii="Palatino Linotype" w:hAnsi="Palatino Linotype"/>
          <w:b/>
          <w:bCs/>
        </w:rPr>
        <w:t>titucional a norma municipal que autoriza o Poder Ex</w:t>
      </w:r>
      <w:r w:rsidRPr="00522048">
        <w:rPr>
          <w:rFonts w:ascii="Palatino Linotype" w:hAnsi="Palatino Linotype"/>
          <w:b/>
          <w:bCs/>
        </w:rPr>
        <w:t>e</w:t>
      </w:r>
      <w:r w:rsidRPr="00522048">
        <w:rPr>
          <w:rFonts w:ascii="Palatino Linotype" w:hAnsi="Palatino Linotype"/>
          <w:b/>
          <w:bCs/>
        </w:rPr>
        <w:t>cutivo a vincular transferências de ICMS ao cumprime</w:t>
      </w:r>
      <w:r w:rsidRPr="00522048">
        <w:rPr>
          <w:rFonts w:ascii="Palatino Linotype" w:hAnsi="Palatino Linotype"/>
          <w:b/>
          <w:bCs/>
        </w:rPr>
        <w:t>n</w:t>
      </w:r>
      <w:r w:rsidRPr="00522048">
        <w:rPr>
          <w:rFonts w:ascii="Palatino Linotype" w:hAnsi="Palatino Linotype"/>
          <w:b/>
          <w:bCs/>
        </w:rPr>
        <w:t>to de obrigação celebrada com conce</w:t>
      </w:r>
      <w:r w:rsidRPr="00522048">
        <w:rPr>
          <w:rFonts w:ascii="Palatino Linotype" w:hAnsi="Palatino Linotype"/>
          <w:b/>
          <w:bCs/>
        </w:rPr>
        <w:t>s</w:t>
      </w:r>
      <w:r w:rsidRPr="00522048">
        <w:rPr>
          <w:rFonts w:ascii="Palatino Linotype" w:hAnsi="Palatino Linotype"/>
          <w:b/>
          <w:bCs/>
        </w:rPr>
        <w:t>sionária de serviço público.</w:t>
      </w:r>
      <w:r w:rsidRPr="00522048">
        <w:rPr>
          <w:rFonts w:ascii="Palatino Linotype" w:hAnsi="Palatino Linotype"/>
        </w:rPr>
        <w:t> 2. Arguição julgada improcedente. (Arguição de Inconstitucionalidade n° 0142749-60.2011.8.26.0000, Órgão Especial, data do julgamento 14/09/2011, Relator Artur Marques).</w:t>
      </w:r>
    </w:p>
    <w:p w:rsidR="003A6FD2" w:rsidRPr="00522048" w:rsidRDefault="003A6FD2" w:rsidP="00266DEF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</w:p>
    <w:p w:rsidR="00A8069E" w:rsidRPr="00522048" w:rsidRDefault="00A8069E" w:rsidP="00A8069E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522048">
        <w:rPr>
          <w:rFonts w:ascii="Palatino Linotype" w:hAnsi="Palatino Linotype" w:cs="Arial"/>
          <w:color w:val="000000"/>
        </w:rPr>
        <w:t> </w:t>
      </w:r>
      <w:r w:rsidRPr="00522048">
        <w:rPr>
          <w:rFonts w:ascii="Palatino Linotype" w:hAnsi="Palatino Linotype"/>
          <w:sz w:val="24"/>
          <w:szCs w:val="24"/>
        </w:rPr>
        <w:t>Embora haja divergência (AG.REG. NO RECURSO EXTRAORD</w:t>
      </w:r>
      <w:r w:rsidRPr="00522048">
        <w:rPr>
          <w:rFonts w:ascii="Palatino Linotype" w:hAnsi="Palatino Linotype"/>
          <w:sz w:val="24"/>
          <w:szCs w:val="24"/>
        </w:rPr>
        <w:t>I</w:t>
      </w:r>
      <w:r w:rsidRPr="00522048">
        <w:rPr>
          <w:rFonts w:ascii="Palatino Linotype" w:hAnsi="Palatino Linotype"/>
          <w:sz w:val="24"/>
          <w:szCs w:val="24"/>
        </w:rPr>
        <w:t>NÁRIO COM AGRAVO 665.291/RS, Primeira Turma, Relator Min. Roberto Ba</w:t>
      </w:r>
      <w:r w:rsidRPr="00522048">
        <w:rPr>
          <w:rFonts w:ascii="Palatino Linotype" w:hAnsi="Palatino Linotype"/>
          <w:sz w:val="24"/>
          <w:szCs w:val="24"/>
        </w:rPr>
        <w:t>r</w:t>
      </w:r>
      <w:r w:rsidRPr="00522048">
        <w:rPr>
          <w:rFonts w:ascii="Palatino Linotype" w:hAnsi="Palatino Linotype"/>
          <w:sz w:val="24"/>
          <w:szCs w:val="24"/>
        </w:rPr>
        <w:t>roso, 16/02/2016), também há precedente do STF afirmando que a vedação do art. 167, inciso IV, da Constituição Federal só alcança os</w:t>
      </w:r>
      <w:r w:rsidR="00E92C9F" w:rsidRPr="00522048">
        <w:rPr>
          <w:rFonts w:ascii="Palatino Linotype" w:hAnsi="Palatino Linotype"/>
          <w:sz w:val="24"/>
          <w:szCs w:val="24"/>
        </w:rPr>
        <w:t xml:space="preserve"> </w:t>
      </w:r>
      <w:r w:rsidRPr="00522048">
        <w:rPr>
          <w:rFonts w:ascii="Palatino Linotype" w:hAnsi="Palatino Linotype"/>
          <w:sz w:val="24"/>
          <w:szCs w:val="24"/>
        </w:rPr>
        <w:t>tributos da competê</w:t>
      </w:r>
      <w:r w:rsidRPr="00522048">
        <w:rPr>
          <w:rFonts w:ascii="Palatino Linotype" w:hAnsi="Palatino Linotype"/>
          <w:sz w:val="24"/>
          <w:szCs w:val="24"/>
        </w:rPr>
        <w:t>n</w:t>
      </w:r>
      <w:r w:rsidRPr="00522048">
        <w:rPr>
          <w:rFonts w:ascii="Palatino Linotype" w:hAnsi="Palatino Linotype"/>
          <w:sz w:val="24"/>
          <w:szCs w:val="24"/>
        </w:rPr>
        <w:t>cia própria do ente político, já que as receitas decorrentes de transferências constitucionais não teriam natureza de receitas de impostos:</w:t>
      </w:r>
    </w:p>
    <w:p w:rsidR="00A8069E" w:rsidRPr="00522048" w:rsidRDefault="00A8069E" w:rsidP="00A8069E">
      <w:pPr>
        <w:spacing w:after="0" w:line="360" w:lineRule="auto"/>
        <w:ind w:firstLine="1134"/>
        <w:jc w:val="both"/>
        <w:rPr>
          <w:rFonts w:ascii="Palatino Linotype" w:hAnsi="Palatino Linotype" w:cs="Arial"/>
          <w:color w:val="000000"/>
        </w:rPr>
      </w:pPr>
    </w:p>
    <w:p w:rsidR="00A8069E" w:rsidRPr="00522048" w:rsidRDefault="00A8069E" w:rsidP="00A8069E">
      <w:pPr>
        <w:spacing w:after="0" w:line="240" w:lineRule="auto"/>
        <w:ind w:left="2832"/>
        <w:jc w:val="both"/>
        <w:rPr>
          <w:rFonts w:ascii="Palatino Linotype" w:hAnsi="Palatino Linotype"/>
        </w:rPr>
      </w:pPr>
      <w:r w:rsidRPr="00522048">
        <w:rPr>
          <w:rFonts w:ascii="Palatino Linotype" w:hAnsi="Palatino Linotype"/>
        </w:rPr>
        <w:t>RECURSO EXTRAORDINÁRIO - MOLDURA FÁTICA. Na apreciação do enquadramento do recurso extraordin</w:t>
      </w:r>
      <w:r w:rsidRPr="00522048">
        <w:rPr>
          <w:rFonts w:ascii="Palatino Linotype" w:hAnsi="Palatino Linotype"/>
        </w:rPr>
        <w:t>á</w:t>
      </w:r>
      <w:r w:rsidRPr="00522048">
        <w:rPr>
          <w:rFonts w:ascii="Palatino Linotype" w:hAnsi="Palatino Linotype"/>
        </w:rPr>
        <w:t>rio em um dos permissivos constitucionais, parte-se da moldura fática delineada pela Corte de origem. Imposs</w:t>
      </w:r>
      <w:r w:rsidRPr="00522048">
        <w:rPr>
          <w:rFonts w:ascii="Palatino Linotype" w:hAnsi="Palatino Linotype"/>
        </w:rPr>
        <w:t>í</w:t>
      </w:r>
      <w:r w:rsidRPr="00522048">
        <w:rPr>
          <w:rFonts w:ascii="Palatino Linotype" w:hAnsi="Palatino Linotype"/>
        </w:rPr>
        <w:t>vel é pretender substituí-la para, a partir de fundamentos diversos, chegar-se a conclusão sobre o desrespeito a di</w:t>
      </w:r>
      <w:r w:rsidRPr="00522048">
        <w:rPr>
          <w:rFonts w:ascii="Palatino Linotype" w:hAnsi="Palatino Linotype"/>
        </w:rPr>
        <w:t>s</w:t>
      </w:r>
      <w:r w:rsidRPr="00522048">
        <w:rPr>
          <w:rFonts w:ascii="Palatino Linotype" w:hAnsi="Palatino Linotype"/>
        </w:rPr>
        <w:t>positivo da Lei Básica Federal. CONDENAÇÃO JUDIC</w:t>
      </w:r>
      <w:r w:rsidRPr="00522048">
        <w:rPr>
          <w:rFonts w:ascii="Palatino Linotype" w:hAnsi="Palatino Linotype"/>
        </w:rPr>
        <w:t>I</w:t>
      </w:r>
      <w:r w:rsidRPr="00522048">
        <w:rPr>
          <w:rFonts w:ascii="Palatino Linotype" w:hAnsi="Palatino Linotype"/>
        </w:rPr>
        <w:t>AL - ACORDO - PARCELAMENTO. Em se tratando de acordo relativo a parcelamento de débito previsto em se</w:t>
      </w:r>
      <w:r w:rsidRPr="00522048">
        <w:rPr>
          <w:rFonts w:ascii="Palatino Linotype" w:hAnsi="Palatino Linotype"/>
        </w:rPr>
        <w:t>n</w:t>
      </w:r>
      <w:r w:rsidRPr="00522048">
        <w:rPr>
          <w:rFonts w:ascii="Palatino Linotype" w:hAnsi="Palatino Linotype"/>
        </w:rPr>
        <w:t>tença judicial, possível é a dispensa do precatório uma vez não ocorrida a preterição. </w:t>
      </w:r>
      <w:r w:rsidRPr="00522048">
        <w:rPr>
          <w:rFonts w:ascii="Palatino Linotype" w:hAnsi="Palatino Linotype"/>
          <w:b/>
          <w:bCs/>
        </w:rPr>
        <w:t xml:space="preserve">ACORDO - DÉBITO - ICMS - PARTICIPAÇÃO DO MUNICÍPIO. Inexiste </w:t>
      </w:r>
      <w:r w:rsidRPr="00522048">
        <w:rPr>
          <w:rFonts w:ascii="Palatino Linotype" w:hAnsi="Palatino Linotype"/>
          <w:b/>
          <w:bCs/>
        </w:rPr>
        <w:t>o</w:t>
      </w:r>
      <w:r w:rsidRPr="00522048">
        <w:rPr>
          <w:rFonts w:ascii="Palatino Linotype" w:hAnsi="Palatino Linotype"/>
          <w:b/>
          <w:bCs/>
        </w:rPr>
        <w:t>fensa ao inciso IV do a</w:t>
      </w:r>
      <w:r w:rsidRPr="00522048">
        <w:rPr>
          <w:rFonts w:ascii="Palatino Linotype" w:hAnsi="Palatino Linotype"/>
          <w:b/>
          <w:bCs/>
        </w:rPr>
        <w:t>r</w:t>
      </w:r>
      <w:r w:rsidRPr="00522048">
        <w:rPr>
          <w:rFonts w:ascii="Palatino Linotype" w:hAnsi="Palatino Linotype"/>
          <w:b/>
          <w:bCs/>
        </w:rPr>
        <w:t>tigo 167 da Constituição Federal, no que utilizado o produto da participação do município no ICMS para liquidação de débito. A vinculação ved</w:t>
      </w:r>
      <w:r w:rsidRPr="00522048">
        <w:rPr>
          <w:rFonts w:ascii="Palatino Linotype" w:hAnsi="Palatino Linotype"/>
          <w:b/>
          <w:bCs/>
        </w:rPr>
        <w:t>a</w:t>
      </w:r>
      <w:r w:rsidRPr="00522048">
        <w:rPr>
          <w:rFonts w:ascii="Palatino Linotype" w:hAnsi="Palatino Linotype"/>
          <w:b/>
          <w:bCs/>
        </w:rPr>
        <w:t>da pelo Texto Constitucional está ligada a tributos pr</w:t>
      </w:r>
      <w:r w:rsidRPr="00522048">
        <w:rPr>
          <w:rFonts w:ascii="Palatino Linotype" w:hAnsi="Palatino Linotype"/>
          <w:b/>
          <w:bCs/>
        </w:rPr>
        <w:t>ó</w:t>
      </w:r>
      <w:r w:rsidRPr="00522048">
        <w:rPr>
          <w:rFonts w:ascii="Palatino Linotype" w:hAnsi="Palatino Linotype"/>
          <w:b/>
          <w:bCs/>
        </w:rPr>
        <w:lastRenderedPageBreak/>
        <w:t>prios.</w:t>
      </w:r>
      <w:r w:rsidRPr="00522048">
        <w:rPr>
          <w:rFonts w:ascii="Palatino Linotype" w:hAnsi="Palatino Linotype"/>
        </w:rPr>
        <w:t> (RE 184116, Relator(a): Min. MARCO AURÉLIO, Segunda Turma, julgado em 07/11/2000, DJ 16-022001 PP-00139 EMENT VOL-02019-02 PP-00419)</w:t>
      </w:r>
    </w:p>
    <w:p w:rsidR="00A8069E" w:rsidRPr="00522048" w:rsidRDefault="00A8069E" w:rsidP="00266DEF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</w:p>
    <w:p w:rsidR="00F73224" w:rsidRPr="00522048" w:rsidRDefault="00F73224" w:rsidP="00266DEF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522048">
        <w:rPr>
          <w:rFonts w:ascii="Palatino Linotype" w:hAnsi="Palatino Linotype"/>
          <w:sz w:val="24"/>
          <w:szCs w:val="24"/>
        </w:rPr>
        <w:t>Quanto à receita proveniente do Fundo de Participação dos Munic</w:t>
      </w:r>
      <w:r w:rsidRPr="00522048">
        <w:rPr>
          <w:rFonts w:ascii="Palatino Linotype" w:hAnsi="Palatino Linotype"/>
          <w:sz w:val="24"/>
          <w:szCs w:val="24"/>
        </w:rPr>
        <w:t>í</w:t>
      </w:r>
      <w:r w:rsidRPr="00522048">
        <w:rPr>
          <w:rFonts w:ascii="Palatino Linotype" w:hAnsi="Palatino Linotype"/>
          <w:sz w:val="24"/>
          <w:szCs w:val="24"/>
        </w:rPr>
        <w:t>pios, ressalta-se, não há proibição de sua vinculação por haver parecer vinc</w:t>
      </w:r>
      <w:r w:rsidRPr="00522048">
        <w:rPr>
          <w:rFonts w:ascii="Palatino Linotype" w:hAnsi="Palatino Linotype"/>
          <w:sz w:val="24"/>
          <w:szCs w:val="24"/>
        </w:rPr>
        <w:t>u</w:t>
      </w:r>
      <w:r w:rsidRPr="00522048">
        <w:rPr>
          <w:rFonts w:ascii="Palatino Linotype" w:hAnsi="Palatino Linotype"/>
          <w:sz w:val="24"/>
          <w:szCs w:val="24"/>
        </w:rPr>
        <w:t>lante exarado pela AGU nesse sentido</w:t>
      </w:r>
      <w:r w:rsidR="003C38DD" w:rsidRPr="00522048">
        <w:rPr>
          <w:rStyle w:val="Refdenotaderodap"/>
          <w:rFonts w:ascii="Palatino Linotype" w:hAnsi="Palatino Linotype"/>
          <w:sz w:val="24"/>
          <w:szCs w:val="24"/>
        </w:rPr>
        <w:footnoteReference w:id="2"/>
      </w:r>
      <w:r w:rsidRPr="00522048">
        <w:rPr>
          <w:rFonts w:ascii="Palatino Linotype" w:hAnsi="Palatino Linotype"/>
          <w:sz w:val="24"/>
          <w:szCs w:val="24"/>
        </w:rPr>
        <w:t xml:space="preserve"> e, quanto às receitas decorrentes de transferências constitucionais (art. 158 da CF), há profunda divergência juri</w:t>
      </w:r>
      <w:r w:rsidRPr="00522048">
        <w:rPr>
          <w:rFonts w:ascii="Palatino Linotype" w:hAnsi="Palatino Linotype"/>
          <w:sz w:val="24"/>
          <w:szCs w:val="24"/>
        </w:rPr>
        <w:t>s</w:t>
      </w:r>
      <w:r w:rsidRPr="00522048">
        <w:rPr>
          <w:rFonts w:ascii="Palatino Linotype" w:hAnsi="Palatino Linotype"/>
          <w:sz w:val="24"/>
          <w:szCs w:val="24"/>
        </w:rPr>
        <w:t>prudencial, existindo, todavia, razoável interpretação pela viabilidade dessa vinculação.</w:t>
      </w:r>
    </w:p>
    <w:p w:rsidR="00AA4D8F" w:rsidRPr="00522048" w:rsidRDefault="00AA4D8F" w:rsidP="00266DEF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</w:p>
    <w:p w:rsidR="00AA4D8F" w:rsidRPr="00522048" w:rsidRDefault="00AA4D8F" w:rsidP="00266DEF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522048">
        <w:rPr>
          <w:rFonts w:ascii="Palatino Linotype" w:hAnsi="Palatino Linotype"/>
          <w:sz w:val="24"/>
          <w:szCs w:val="24"/>
        </w:rPr>
        <w:t>Constata-se que a redação pretendida com a alteração através do PLE 056/2021 é inclusive a que consta do modelo de Projeto de Lei para os Munic</w:t>
      </w:r>
      <w:r w:rsidRPr="00522048">
        <w:rPr>
          <w:rFonts w:ascii="Palatino Linotype" w:hAnsi="Palatino Linotype"/>
          <w:sz w:val="24"/>
          <w:szCs w:val="24"/>
        </w:rPr>
        <w:t>í</w:t>
      </w:r>
      <w:r w:rsidRPr="00522048">
        <w:rPr>
          <w:rFonts w:ascii="Palatino Linotype" w:hAnsi="Palatino Linotype"/>
          <w:sz w:val="24"/>
          <w:szCs w:val="24"/>
        </w:rPr>
        <w:t>pios disponibilizado pelo Governo Federal através do portal do Tesouro Naci</w:t>
      </w:r>
      <w:r w:rsidRPr="00522048">
        <w:rPr>
          <w:rFonts w:ascii="Palatino Linotype" w:hAnsi="Palatino Linotype"/>
          <w:sz w:val="24"/>
          <w:szCs w:val="24"/>
        </w:rPr>
        <w:t>o</w:t>
      </w:r>
      <w:r w:rsidRPr="00522048">
        <w:rPr>
          <w:rFonts w:ascii="Palatino Linotype" w:hAnsi="Palatino Linotype"/>
          <w:sz w:val="24"/>
          <w:szCs w:val="24"/>
        </w:rPr>
        <w:t>nal</w:t>
      </w:r>
      <w:r w:rsidR="00E92C9F">
        <w:rPr>
          <w:rStyle w:val="Refdenotaderodap"/>
          <w:rFonts w:ascii="Palatino Linotype" w:hAnsi="Palatino Linotype"/>
          <w:sz w:val="24"/>
          <w:szCs w:val="24"/>
        </w:rPr>
        <w:footnoteReference w:id="3"/>
      </w:r>
      <w:r w:rsidRPr="00522048">
        <w:rPr>
          <w:rFonts w:ascii="Palatino Linotype" w:hAnsi="Palatino Linotype"/>
          <w:sz w:val="24"/>
          <w:szCs w:val="24"/>
        </w:rPr>
        <w:t xml:space="preserve"> </w:t>
      </w:r>
      <w:r w:rsidRPr="00522048">
        <w:rPr>
          <w:rFonts w:ascii="Palatino Linotype" w:hAnsi="Palatino Linotype"/>
          <w:b/>
          <w:sz w:val="24"/>
          <w:szCs w:val="24"/>
        </w:rPr>
        <w:t>em que no art. 2º do modelo abaixo transcrito estão indicadas as contrag</w:t>
      </w:r>
      <w:r w:rsidRPr="00522048">
        <w:rPr>
          <w:rFonts w:ascii="Palatino Linotype" w:hAnsi="Palatino Linotype"/>
          <w:b/>
          <w:sz w:val="24"/>
          <w:szCs w:val="24"/>
        </w:rPr>
        <w:t>a</w:t>
      </w:r>
      <w:r w:rsidRPr="00522048">
        <w:rPr>
          <w:rFonts w:ascii="Palatino Linotype" w:hAnsi="Palatino Linotype"/>
          <w:b/>
          <w:sz w:val="24"/>
          <w:szCs w:val="24"/>
        </w:rPr>
        <w:t>rantias à garantia da Un</w:t>
      </w:r>
      <w:r w:rsidRPr="00522048">
        <w:rPr>
          <w:rFonts w:ascii="Palatino Linotype" w:hAnsi="Palatino Linotype"/>
          <w:b/>
          <w:sz w:val="24"/>
          <w:szCs w:val="24"/>
        </w:rPr>
        <w:t>i</w:t>
      </w:r>
      <w:r w:rsidRPr="00522048">
        <w:rPr>
          <w:rFonts w:ascii="Palatino Linotype" w:hAnsi="Palatino Linotype"/>
          <w:b/>
          <w:sz w:val="24"/>
          <w:szCs w:val="24"/>
        </w:rPr>
        <w:t>ão admitidas pelo Ministério da Economia</w:t>
      </w:r>
      <w:r w:rsidRPr="00522048">
        <w:rPr>
          <w:rFonts w:ascii="Palatino Linotype" w:hAnsi="Palatino Linotype"/>
          <w:sz w:val="24"/>
          <w:szCs w:val="24"/>
        </w:rPr>
        <w:t>:</w:t>
      </w:r>
    </w:p>
    <w:p w:rsidR="00AA4D8F" w:rsidRPr="00522048" w:rsidRDefault="00AA4D8F" w:rsidP="00266DEF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</w:p>
    <w:p w:rsidR="00AA4D8F" w:rsidRPr="00522048" w:rsidRDefault="00AA4D8F" w:rsidP="00AA4D8F">
      <w:pPr>
        <w:spacing w:after="0" w:line="240" w:lineRule="auto"/>
        <w:ind w:left="2832"/>
        <w:jc w:val="both"/>
        <w:rPr>
          <w:rFonts w:ascii="Palatino Linotype" w:hAnsi="Palatino Linotype"/>
        </w:rPr>
      </w:pPr>
    </w:p>
    <w:p w:rsidR="00AA4D8F" w:rsidRPr="00522048" w:rsidRDefault="00AA4D8F" w:rsidP="00AA4D8F">
      <w:pPr>
        <w:spacing w:after="0" w:line="240" w:lineRule="auto"/>
        <w:ind w:left="2832"/>
        <w:jc w:val="both"/>
        <w:rPr>
          <w:rFonts w:ascii="Palatino Linotype" w:hAnsi="Palatino Linotype"/>
        </w:rPr>
      </w:pPr>
      <w:r w:rsidRPr="00522048">
        <w:rPr>
          <w:rFonts w:ascii="Palatino Linotype" w:hAnsi="Palatino Linotype"/>
        </w:rPr>
        <w:t xml:space="preserve">(PARA MUNICÍPIO) </w:t>
      </w:r>
    </w:p>
    <w:p w:rsidR="00AA4D8F" w:rsidRPr="00522048" w:rsidRDefault="00AA4D8F" w:rsidP="00AA4D8F">
      <w:pPr>
        <w:spacing w:after="0" w:line="240" w:lineRule="auto"/>
        <w:ind w:left="2832"/>
        <w:jc w:val="both"/>
        <w:rPr>
          <w:rFonts w:ascii="Palatino Linotype" w:hAnsi="Palatino Linotype"/>
        </w:rPr>
      </w:pPr>
      <w:r w:rsidRPr="00522048">
        <w:rPr>
          <w:rFonts w:ascii="Palatino Linotype" w:hAnsi="Palatino Linotype"/>
        </w:rPr>
        <w:t>Art. 2º Fica o Poder Executivo autorizado a vincular, c</w:t>
      </w:r>
      <w:r w:rsidRPr="00522048">
        <w:rPr>
          <w:rFonts w:ascii="Palatino Linotype" w:hAnsi="Palatino Linotype"/>
        </w:rPr>
        <w:t>o</w:t>
      </w:r>
      <w:r w:rsidRPr="00522048">
        <w:rPr>
          <w:rFonts w:ascii="Palatino Linotype" w:hAnsi="Palatino Linotype"/>
        </w:rPr>
        <w:t>mo contragarantia à garantia da União, à operação de crédito de que trata esta Lei, em caráter irrevogável e irr</w:t>
      </w:r>
      <w:r w:rsidRPr="00522048">
        <w:rPr>
          <w:rFonts w:ascii="Palatino Linotype" w:hAnsi="Palatino Linotype"/>
        </w:rPr>
        <w:t>e</w:t>
      </w:r>
      <w:r w:rsidRPr="00522048">
        <w:rPr>
          <w:rFonts w:ascii="Palatino Linotype" w:hAnsi="Palatino Linotype"/>
        </w:rPr>
        <w:t>tratável, a modo “pro solvendo”, as receitas a que se ref</w:t>
      </w:r>
      <w:r w:rsidRPr="00522048">
        <w:rPr>
          <w:rFonts w:ascii="Palatino Linotype" w:hAnsi="Palatino Linotype"/>
        </w:rPr>
        <w:t>e</w:t>
      </w:r>
      <w:r w:rsidRPr="00522048">
        <w:rPr>
          <w:rFonts w:ascii="Palatino Linotype" w:hAnsi="Palatino Linotype"/>
        </w:rPr>
        <w:t>rem os artigos 158 e 159, inciso I, alíneas “b”, “d” e “e”, complementadas pelas receitas tributárias estabelecidas no artigo 156, nos termos do § 4º do art. 167, todos da Constituição Federal, bem como outras garantias admit</w:t>
      </w:r>
      <w:r w:rsidRPr="00522048">
        <w:rPr>
          <w:rFonts w:ascii="Palatino Linotype" w:hAnsi="Palatino Linotype"/>
        </w:rPr>
        <w:t>i</w:t>
      </w:r>
      <w:r w:rsidRPr="00522048">
        <w:rPr>
          <w:rFonts w:ascii="Palatino Linotype" w:hAnsi="Palatino Linotype"/>
        </w:rPr>
        <w:t>das em direito.</w:t>
      </w:r>
    </w:p>
    <w:p w:rsidR="00F73224" w:rsidRPr="00522048" w:rsidRDefault="00F73224" w:rsidP="00AA4D8F">
      <w:pPr>
        <w:spacing w:after="0" w:line="240" w:lineRule="auto"/>
        <w:ind w:left="2832"/>
        <w:jc w:val="both"/>
        <w:rPr>
          <w:rFonts w:ascii="Palatino Linotype" w:hAnsi="Palatino Linotype"/>
        </w:rPr>
      </w:pPr>
    </w:p>
    <w:p w:rsidR="00FE1624" w:rsidRPr="00522048" w:rsidRDefault="00FE1624" w:rsidP="00EE1981">
      <w:pPr>
        <w:spacing w:after="0" w:line="360" w:lineRule="auto"/>
        <w:ind w:firstLine="708"/>
        <w:jc w:val="both"/>
        <w:rPr>
          <w:rFonts w:ascii="Palatino Linotype" w:hAnsi="Palatino Linotype"/>
          <w:sz w:val="24"/>
          <w:szCs w:val="24"/>
          <w:u w:val="single"/>
        </w:rPr>
      </w:pPr>
      <w:r w:rsidRPr="00522048">
        <w:rPr>
          <w:rFonts w:ascii="Palatino Linotype" w:hAnsi="Palatino Linotype"/>
          <w:sz w:val="24"/>
          <w:szCs w:val="24"/>
          <w:u w:val="single"/>
        </w:rPr>
        <w:t>A proposta visa incluir como contragarantia, além do previsto na alínea ‘b’ do art. 159 da CF/88, os recursos previstos nas alíneas ‘d’ e ‘e’ do referido artigo, os quais dispõe sobre o 1% por cento do Fundo de Participação dos M</w:t>
      </w:r>
      <w:r w:rsidRPr="00522048">
        <w:rPr>
          <w:rFonts w:ascii="Palatino Linotype" w:hAnsi="Palatino Linotype"/>
          <w:sz w:val="24"/>
          <w:szCs w:val="24"/>
          <w:u w:val="single"/>
        </w:rPr>
        <w:t>u</w:t>
      </w:r>
      <w:r w:rsidRPr="00522048">
        <w:rPr>
          <w:rFonts w:ascii="Palatino Linotype" w:hAnsi="Palatino Linotype"/>
          <w:sz w:val="24"/>
          <w:szCs w:val="24"/>
          <w:u w:val="single"/>
        </w:rPr>
        <w:lastRenderedPageBreak/>
        <w:t>nicípios, que será entr</w:t>
      </w:r>
      <w:r w:rsidRPr="00522048">
        <w:rPr>
          <w:rFonts w:ascii="Palatino Linotype" w:hAnsi="Palatino Linotype"/>
          <w:sz w:val="24"/>
          <w:szCs w:val="24"/>
          <w:u w:val="single"/>
        </w:rPr>
        <w:t>e</w:t>
      </w:r>
      <w:r w:rsidRPr="00522048">
        <w:rPr>
          <w:rFonts w:ascii="Palatino Linotype" w:hAnsi="Palatino Linotype"/>
          <w:sz w:val="24"/>
          <w:szCs w:val="24"/>
          <w:u w:val="single"/>
        </w:rPr>
        <w:t>gue no primeiro decêndio do mês de dezembro de cada ano e 1% (um por cento) ao Fundo de Participação dos Municípios, que será entregue no primeiro decêndio do mês de julho de cada ano</w:t>
      </w:r>
      <w:r w:rsidR="002953B3" w:rsidRPr="00522048">
        <w:rPr>
          <w:rFonts w:ascii="Palatino Linotype" w:hAnsi="Palatino Linotype"/>
          <w:sz w:val="24"/>
          <w:szCs w:val="24"/>
          <w:u w:val="single"/>
        </w:rPr>
        <w:t>, a serem compl</w:t>
      </w:r>
      <w:r w:rsidR="002953B3" w:rsidRPr="00522048">
        <w:rPr>
          <w:rFonts w:ascii="Palatino Linotype" w:hAnsi="Palatino Linotype"/>
          <w:sz w:val="24"/>
          <w:szCs w:val="24"/>
          <w:u w:val="single"/>
        </w:rPr>
        <w:t>e</w:t>
      </w:r>
      <w:r w:rsidR="002953B3" w:rsidRPr="00522048">
        <w:rPr>
          <w:rFonts w:ascii="Palatino Linotype" w:hAnsi="Palatino Linotype"/>
          <w:sz w:val="24"/>
          <w:szCs w:val="24"/>
          <w:u w:val="single"/>
        </w:rPr>
        <w:t>mentados, ainda, pelos impostos do Município</w:t>
      </w:r>
      <w:r w:rsidR="001E2FD9" w:rsidRPr="00522048">
        <w:rPr>
          <w:rFonts w:ascii="Palatino Linotype" w:hAnsi="Palatino Linotype"/>
          <w:sz w:val="24"/>
          <w:szCs w:val="24"/>
          <w:u w:val="single"/>
        </w:rPr>
        <w:t xml:space="preserve"> de que trata o art. 156 da Const</w:t>
      </w:r>
      <w:r w:rsidR="001E2FD9" w:rsidRPr="00522048">
        <w:rPr>
          <w:rFonts w:ascii="Palatino Linotype" w:hAnsi="Palatino Linotype"/>
          <w:sz w:val="24"/>
          <w:szCs w:val="24"/>
          <w:u w:val="single"/>
        </w:rPr>
        <w:t>i</w:t>
      </w:r>
      <w:r w:rsidR="001E2FD9" w:rsidRPr="00522048">
        <w:rPr>
          <w:rFonts w:ascii="Palatino Linotype" w:hAnsi="Palatino Linotype"/>
          <w:sz w:val="24"/>
          <w:szCs w:val="24"/>
          <w:u w:val="single"/>
        </w:rPr>
        <w:t>tuição Federal</w:t>
      </w:r>
      <w:r w:rsidR="00522048" w:rsidRPr="00522048">
        <w:rPr>
          <w:rFonts w:ascii="Palatino Linotype" w:hAnsi="Palatino Linotype"/>
          <w:sz w:val="24"/>
          <w:szCs w:val="24"/>
          <w:u w:val="single"/>
        </w:rPr>
        <w:t>.</w:t>
      </w:r>
    </w:p>
    <w:p w:rsidR="00522048" w:rsidRPr="00522048" w:rsidRDefault="00522048" w:rsidP="00EE1981">
      <w:pPr>
        <w:spacing w:after="0" w:line="360" w:lineRule="auto"/>
        <w:ind w:firstLine="708"/>
        <w:jc w:val="both"/>
        <w:rPr>
          <w:rFonts w:ascii="Palatino Linotype" w:hAnsi="Palatino Linotype"/>
          <w:sz w:val="24"/>
          <w:szCs w:val="24"/>
          <w:u w:val="single"/>
        </w:rPr>
      </w:pPr>
    </w:p>
    <w:p w:rsidR="00522048" w:rsidRPr="00522048" w:rsidRDefault="00522048" w:rsidP="00EE1981">
      <w:pPr>
        <w:spacing w:after="0" w:line="360" w:lineRule="auto"/>
        <w:ind w:firstLine="708"/>
        <w:jc w:val="both"/>
        <w:rPr>
          <w:rFonts w:ascii="Palatino Linotype" w:hAnsi="Palatino Linotype"/>
          <w:sz w:val="24"/>
          <w:szCs w:val="24"/>
          <w:u w:val="single"/>
        </w:rPr>
      </w:pPr>
      <w:r w:rsidRPr="00522048">
        <w:rPr>
          <w:rFonts w:ascii="Palatino Linotype" w:hAnsi="Palatino Linotype"/>
          <w:sz w:val="24"/>
          <w:szCs w:val="24"/>
          <w:u w:val="single"/>
        </w:rPr>
        <w:t>A redação proposta adéqua, ainda, a proposta, para que a redação do art. 2º traga o § 4º do art. 167 da CRFB, o qual dispõe acerca da permissão da vinc</w:t>
      </w:r>
      <w:r w:rsidRPr="00522048">
        <w:rPr>
          <w:rFonts w:ascii="Palatino Linotype" w:hAnsi="Palatino Linotype"/>
          <w:sz w:val="24"/>
          <w:szCs w:val="24"/>
          <w:u w:val="single"/>
        </w:rPr>
        <w:t>u</w:t>
      </w:r>
      <w:r w:rsidRPr="00522048">
        <w:rPr>
          <w:rFonts w:ascii="Palatino Linotype" w:hAnsi="Palatino Linotype"/>
          <w:sz w:val="24"/>
          <w:szCs w:val="24"/>
          <w:u w:val="single"/>
        </w:rPr>
        <w:t>lação das receitas a que se referem os arts. 155, 156, 157, 158 e as alíneas "a", "b", "d" e "e" do inciso I e o inciso II do caput do art. 159 desta Constituição para p</w:t>
      </w:r>
      <w:r w:rsidRPr="00522048">
        <w:rPr>
          <w:rFonts w:ascii="Palatino Linotype" w:hAnsi="Palatino Linotype"/>
          <w:sz w:val="24"/>
          <w:szCs w:val="24"/>
          <w:u w:val="single"/>
        </w:rPr>
        <w:t>a</w:t>
      </w:r>
      <w:r w:rsidRPr="00522048">
        <w:rPr>
          <w:rFonts w:ascii="Palatino Linotype" w:hAnsi="Palatino Linotype"/>
          <w:sz w:val="24"/>
          <w:szCs w:val="24"/>
          <w:u w:val="single"/>
        </w:rPr>
        <w:t>gamento de débitos com a União e para prestar-lhe garantia ou contragarantia.</w:t>
      </w:r>
    </w:p>
    <w:p w:rsidR="00FE1624" w:rsidRPr="00522048" w:rsidRDefault="00FE1624" w:rsidP="00EE1981">
      <w:pPr>
        <w:spacing w:after="0" w:line="360" w:lineRule="auto"/>
        <w:ind w:firstLine="708"/>
        <w:jc w:val="both"/>
        <w:rPr>
          <w:rFonts w:ascii="Palatino Linotype" w:hAnsi="Palatino Linotype"/>
          <w:sz w:val="24"/>
          <w:szCs w:val="24"/>
          <w:u w:val="single"/>
        </w:rPr>
      </w:pPr>
    </w:p>
    <w:p w:rsidR="00A4780E" w:rsidRPr="00522048" w:rsidRDefault="00A4780E" w:rsidP="00EE1981">
      <w:pPr>
        <w:spacing w:after="0"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 w:rsidRPr="00522048">
        <w:rPr>
          <w:rFonts w:ascii="Palatino Linotype" w:hAnsi="Palatino Linotype"/>
          <w:sz w:val="24"/>
          <w:szCs w:val="24"/>
          <w:u w:val="single"/>
        </w:rPr>
        <w:t xml:space="preserve">Por fim, </w:t>
      </w:r>
      <w:r w:rsidR="009908E3" w:rsidRPr="00522048">
        <w:rPr>
          <w:rFonts w:ascii="Palatino Linotype" w:hAnsi="Palatino Linotype"/>
          <w:sz w:val="24"/>
          <w:szCs w:val="24"/>
          <w:u w:val="single"/>
        </w:rPr>
        <w:t>refoge à esta Procuradoria a análise</w:t>
      </w:r>
      <w:r w:rsidRPr="00522048">
        <w:rPr>
          <w:rFonts w:ascii="Palatino Linotype" w:hAnsi="Palatino Linotype"/>
          <w:sz w:val="24"/>
          <w:szCs w:val="24"/>
          <w:u w:val="single"/>
        </w:rPr>
        <w:t xml:space="preserve"> quanto ao cumprimento </w:t>
      </w:r>
      <w:r w:rsidR="009908E3" w:rsidRPr="00522048">
        <w:rPr>
          <w:rFonts w:ascii="Palatino Linotype" w:hAnsi="Palatino Linotype"/>
          <w:sz w:val="24"/>
          <w:szCs w:val="24"/>
          <w:u w:val="single"/>
        </w:rPr>
        <w:t>d</w:t>
      </w:r>
      <w:r w:rsidRPr="00522048">
        <w:rPr>
          <w:rFonts w:ascii="Palatino Linotype" w:hAnsi="Palatino Linotype"/>
          <w:sz w:val="24"/>
          <w:szCs w:val="24"/>
          <w:u w:val="single"/>
        </w:rPr>
        <w:t>o disposto no art. 167, inciso III da CF/88 (ou art. 12, § 2º da LRF)</w:t>
      </w:r>
      <w:r w:rsidRPr="00522048">
        <w:rPr>
          <w:rFonts w:ascii="Palatino Linotype" w:hAnsi="Palatino Linotype"/>
          <w:sz w:val="24"/>
          <w:szCs w:val="24"/>
        </w:rPr>
        <w:t xml:space="preserve"> no que se ref</w:t>
      </w:r>
      <w:r w:rsidRPr="00522048">
        <w:rPr>
          <w:rFonts w:ascii="Palatino Linotype" w:hAnsi="Palatino Linotype"/>
          <w:sz w:val="24"/>
          <w:szCs w:val="24"/>
        </w:rPr>
        <w:t>e</w:t>
      </w:r>
      <w:r w:rsidRPr="00522048">
        <w:rPr>
          <w:rFonts w:ascii="Palatino Linotype" w:hAnsi="Palatino Linotype"/>
          <w:sz w:val="24"/>
          <w:szCs w:val="24"/>
        </w:rPr>
        <w:t>rem à ved</w:t>
      </w:r>
      <w:r w:rsidRPr="00522048">
        <w:rPr>
          <w:rFonts w:ascii="Palatino Linotype" w:hAnsi="Palatino Linotype"/>
          <w:sz w:val="24"/>
          <w:szCs w:val="24"/>
        </w:rPr>
        <w:t>a</w:t>
      </w:r>
      <w:r w:rsidRPr="00522048">
        <w:rPr>
          <w:rFonts w:ascii="Palatino Linotype" w:hAnsi="Palatino Linotype"/>
          <w:sz w:val="24"/>
          <w:szCs w:val="24"/>
        </w:rPr>
        <w:t>ção da realização de operações de créditos que excedam o montante das despesas de capital, ressalvadas as autorizadas mediante créditos supl</w:t>
      </w:r>
      <w:r w:rsidRPr="00522048">
        <w:rPr>
          <w:rFonts w:ascii="Palatino Linotype" w:hAnsi="Palatino Linotype"/>
          <w:sz w:val="24"/>
          <w:szCs w:val="24"/>
        </w:rPr>
        <w:t>e</w:t>
      </w:r>
      <w:r w:rsidRPr="00522048">
        <w:rPr>
          <w:rFonts w:ascii="Palatino Linotype" w:hAnsi="Palatino Linotype"/>
          <w:sz w:val="24"/>
          <w:szCs w:val="24"/>
        </w:rPr>
        <w:t>mentares ou especiais com finalidade precisa, aprovados pelo Poder Legislativo por maioria absoluta.</w:t>
      </w:r>
    </w:p>
    <w:p w:rsidR="0039086F" w:rsidRPr="00522048" w:rsidRDefault="0039086F" w:rsidP="00EE1981">
      <w:pPr>
        <w:spacing w:after="0"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</w:p>
    <w:p w:rsidR="0018466E" w:rsidRPr="00522048" w:rsidRDefault="0018466E" w:rsidP="0018466E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Palatino Linotype" w:hAnsi="Palatino Linotype"/>
          <w:b/>
          <w:sz w:val="24"/>
          <w:szCs w:val="24"/>
        </w:rPr>
      </w:pPr>
      <w:r w:rsidRPr="00522048">
        <w:rPr>
          <w:rFonts w:ascii="Palatino Linotype" w:hAnsi="Palatino Linotype"/>
          <w:b/>
          <w:sz w:val="24"/>
          <w:szCs w:val="24"/>
        </w:rPr>
        <w:t>DOS QUÓRUNS DE PRESENÇA E DE APROVAÇÃO</w:t>
      </w:r>
    </w:p>
    <w:p w:rsidR="0018466E" w:rsidRPr="00522048" w:rsidRDefault="0018466E" w:rsidP="0018466E">
      <w:pPr>
        <w:spacing w:after="0" w:line="36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18466E" w:rsidRPr="00522048" w:rsidRDefault="0018466E" w:rsidP="0018466E">
      <w:pPr>
        <w:spacing w:after="0"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 w:rsidRPr="00522048">
        <w:rPr>
          <w:rFonts w:ascii="Palatino Linotype" w:hAnsi="Palatino Linotype"/>
          <w:sz w:val="24"/>
          <w:szCs w:val="24"/>
        </w:rPr>
        <w:t>Tratando-se de proposição que diz respeito à matéria que autoriza op</w:t>
      </w:r>
      <w:r w:rsidRPr="00522048">
        <w:rPr>
          <w:rFonts w:ascii="Palatino Linotype" w:hAnsi="Palatino Linotype"/>
          <w:sz w:val="24"/>
          <w:szCs w:val="24"/>
        </w:rPr>
        <w:t>e</w:t>
      </w:r>
      <w:r w:rsidRPr="00522048">
        <w:rPr>
          <w:rFonts w:ascii="Palatino Linotype" w:hAnsi="Palatino Linotype"/>
          <w:sz w:val="24"/>
          <w:szCs w:val="24"/>
        </w:rPr>
        <w:t>ração de crédito, a Lei Orgânica Municipal exige quóruns específicos, tanto de presença quanto de aprovação do empréstimo</w:t>
      </w:r>
      <w:r w:rsidR="007907F1" w:rsidRPr="00522048">
        <w:rPr>
          <w:rFonts w:ascii="Palatino Linotype" w:hAnsi="Palatino Linotype"/>
          <w:sz w:val="24"/>
          <w:szCs w:val="24"/>
        </w:rPr>
        <w:t xml:space="preserve"> (presença de 11 vereadores e </w:t>
      </w:r>
      <w:r w:rsidR="007907F1" w:rsidRPr="00522048">
        <w:rPr>
          <w:rFonts w:ascii="Palatino Linotype" w:hAnsi="Palatino Linotype"/>
          <w:sz w:val="24"/>
          <w:szCs w:val="24"/>
        </w:rPr>
        <w:t>a</w:t>
      </w:r>
      <w:r w:rsidR="007907F1" w:rsidRPr="00522048">
        <w:rPr>
          <w:rFonts w:ascii="Palatino Linotype" w:hAnsi="Palatino Linotype"/>
          <w:sz w:val="24"/>
          <w:szCs w:val="24"/>
        </w:rPr>
        <w:t>provação de 9 veread</w:t>
      </w:r>
      <w:r w:rsidR="007907F1" w:rsidRPr="00522048">
        <w:rPr>
          <w:rFonts w:ascii="Palatino Linotype" w:hAnsi="Palatino Linotype"/>
          <w:sz w:val="24"/>
          <w:szCs w:val="24"/>
        </w:rPr>
        <w:t>o</w:t>
      </w:r>
      <w:r w:rsidR="007907F1" w:rsidRPr="00522048">
        <w:rPr>
          <w:rFonts w:ascii="Palatino Linotype" w:hAnsi="Palatino Linotype"/>
          <w:sz w:val="24"/>
          <w:szCs w:val="24"/>
        </w:rPr>
        <w:t>res, respectivamente)</w:t>
      </w:r>
      <w:r w:rsidRPr="00522048">
        <w:rPr>
          <w:rFonts w:ascii="Palatino Linotype" w:hAnsi="Palatino Linotype"/>
          <w:sz w:val="24"/>
          <w:szCs w:val="24"/>
        </w:rPr>
        <w:t>. É o que se depreende da leitura da norma orgânica prevista no art. 18, § 2º:</w:t>
      </w:r>
    </w:p>
    <w:p w:rsidR="009F36C4" w:rsidRPr="00522048" w:rsidRDefault="009F36C4" w:rsidP="0018466E">
      <w:pPr>
        <w:spacing w:after="0"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</w:p>
    <w:p w:rsidR="0018466E" w:rsidRPr="00522048" w:rsidRDefault="0018466E" w:rsidP="0018466E">
      <w:pPr>
        <w:spacing w:after="0" w:line="360" w:lineRule="auto"/>
        <w:ind w:left="1698" w:firstLine="1134"/>
        <w:jc w:val="both"/>
        <w:rPr>
          <w:rFonts w:ascii="Palatino Linotype" w:hAnsi="Palatino Linotype"/>
        </w:rPr>
      </w:pPr>
      <w:r w:rsidRPr="00522048">
        <w:rPr>
          <w:rFonts w:ascii="Palatino Linotype" w:hAnsi="Palatino Linotype"/>
        </w:rPr>
        <w:t>Art. 18 (...)</w:t>
      </w:r>
    </w:p>
    <w:p w:rsidR="0018466E" w:rsidRPr="00522048" w:rsidRDefault="0018466E" w:rsidP="0018466E">
      <w:pPr>
        <w:spacing w:after="0" w:line="360" w:lineRule="auto"/>
        <w:ind w:left="2832"/>
        <w:jc w:val="both"/>
        <w:rPr>
          <w:rFonts w:ascii="Palatino Linotype" w:hAnsi="Palatino Linotype"/>
          <w:b/>
          <w:sz w:val="24"/>
          <w:szCs w:val="24"/>
        </w:rPr>
      </w:pPr>
      <w:r w:rsidRPr="00522048">
        <w:rPr>
          <w:rFonts w:ascii="Palatino Linotype" w:hAnsi="Palatino Linotype"/>
        </w:rPr>
        <w:lastRenderedPageBreak/>
        <w:t>§ 2º Quando se tratar de votação do Plano Diretor, do O</w:t>
      </w:r>
      <w:r w:rsidRPr="00522048">
        <w:rPr>
          <w:rFonts w:ascii="Palatino Linotype" w:hAnsi="Palatino Linotype"/>
        </w:rPr>
        <w:t>r</w:t>
      </w:r>
      <w:r w:rsidRPr="00522048">
        <w:rPr>
          <w:rFonts w:ascii="Palatino Linotype" w:hAnsi="Palatino Linotype"/>
        </w:rPr>
        <w:t xml:space="preserve">çamento, </w:t>
      </w:r>
      <w:r w:rsidRPr="00522048">
        <w:rPr>
          <w:rFonts w:ascii="Palatino Linotype" w:hAnsi="Palatino Linotype"/>
          <w:b/>
        </w:rPr>
        <w:t>de empréstimo</w:t>
      </w:r>
      <w:r w:rsidRPr="00522048">
        <w:rPr>
          <w:rFonts w:ascii="Palatino Linotype" w:hAnsi="Palatino Linotype"/>
        </w:rPr>
        <w:t>, de auxilio a empresa, de co</w:t>
      </w:r>
      <w:r w:rsidRPr="00522048">
        <w:rPr>
          <w:rFonts w:ascii="Palatino Linotype" w:hAnsi="Palatino Linotype"/>
        </w:rPr>
        <w:t>n</w:t>
      </w:r>
      <w:r w:rsidRPr="00522048">
        <w:rPr>
          <w:rFonts w:ascii="Palatino Linotype" w:hAnsi="Palatino Linotype"/>
        </w:rPr>
        <w:t>cessão de privilégios e de matéria que verse interesse pa</w:t>
      </w:r>
      <w:r w:rsidRPr="00522048">
        <w:rPr>
          <w:rFonts w:ascii="Palatino Linotype" w:hAnsi="Palatino Linotype"/>
        </w:rPr>
        <w:t>r</w:t>
      </w:r>
      <w:r w:rsidRPr="00522048">
        <w:rPr>
          <w:rFonts w:ascii="Palatino Linotype" w:hAnsi="Palatino Linotype"/>
        </w:rPr>
        <w:t xml:space="preserve">ticular, </w:t>
      </w:r>
      <w:r w:rsidRPr="00522048">
        <w:rPr>
          <w:rFonts w:ascii="Palatino Linotype" w:hAnsi="Palatino Linotype"/>
          <w:b/>
          <w:u w:val="single"/>
        </w:rPr>
        <w:t>o qu</w:t>
      </w:r>
      <w:r w:rsidRPr="00522048">
        <w:rPr>
          <w:rFonts w:ascii="Palatino Linotype" w:hAnsi="Palatino Linotype"/>
          <w:b/>
          <w:u w:val="single"/>
        </w:rPr>
        <w:t>ó</w:t>
      </w:r>
      <w:r w:rsidRPr="00522048">
        <w:rPr>
          <w:rFonts w:ascii="Palatino Linotype" w:hAnsi="Palatino Linotype"/>
          <w:b/>
          <w:u w:val="single"/>
        </w:rPr>
        <w:t>rum mínimo prescrito é de 2/3 (dois terços) de seus membros, e as deliberações são tomadas pelo voto da maioria a</w:t>
      </w:r>
      <w:r w:rsidRPr="00522048">
        <w:rPr>
          <w:rFonts w:ascii="Palatino Linotype" w:hAnsi="Palatino Linotype"/>
          <w:b/>
          <w:u w:val="single"/>
        </w:rPr>
        <w:t>b</w:t>
      </w:r>
      <w:r w:rsidRPr="00522048">
        <w:rPr>
          <w:rFonts w:ascii="Palatino Linotype" w:hAnsi="Palatino Linotype"/>
          <w:b/>
          <w:u w:val="single"/>
        </w:rPr>
        <w:t>soluta dos Vereadores.</w:t>
      </w:r>
    </w:p>
    <w:p w:rsidR="00FB0D94" w:rsidRPr="00522048" w:rsidRDefault="00FB0D94" w:rsidP="00266DEF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</w:p>
    <w:p w:rsidR="00F85172" w:rsidRPr="00522048" w:rsidRDefault="00F85172" w:rsidP="00266DE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/>
          <w:b/>
          <w:sz w:val="24"/>
          <w:szCs w:val="24"/>
        </w:rPr>
      </w:pPr>
      <w:r w:rsidRPr="00522048">
        <w:rPr>
          <w:rFonts w:ascii="Palatino Linotype" w:hAnsi="Palatino Linotype"/>
          <w:b/>
          <w:sz w:val="24"/>
          <w:szCs w:val="24"/>
        </w:rPr>
        <w:t>CONCLUSÃO</w:t>
      </w:r>
    </w:p>
    <w:p w:rsidR="00F85172" w:rsidRPr="00522048" w:rsidRDefault="00F85172" w:rsidP="00266DEF">
      <w:pPr>
        <w:spacing w:after="0" w:line="36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55539F" w:rsidRPr="00522048" w:rsidRDefault="0055539F" w:rsidP="00266DEF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522048">
        <w:rPr>
          <w:rFonts w:ascii="Palatino Linotype" w:hAnsi="Palatino Linotype"/>
          <w:sz w:val="24"/>
          <w:szCs w:val="24"/>
        </w:rPr>
        <w:t xml:space="preserve">Diante do exposto, a Procuradoria </w:t>
      </w:r>
      <w:r w:rsidRPr="00522048">
        <w:rPr>
          <w:rFonts w:ascii="Palatino Linotype" w:hAnsi="Palatino Linotype"/>
          <w:b/>
          <w:sz w:val="24"/>
          <w:szCs w:val="24"/>
        </w:rPr>
        <w:t xml:space="preserve">opina </w:t>
      </w:r>
      <w:r w:rsidR="00643ECD" w:rsidRPr="00522048">
        <w:rPr>
          <w:rFonts w:ascii="Palatino Linotype" w:hAnsi="Palatino Linotype"/>
          <w:b/>
          <w:sz w:val="24"/>
          <w:szCs w:val="24"/>
        </w:rPr>
        <w:t xml:space="preserve">pela </w:t>
      </w:r>
      <w:r w:rsidRPr="00522048">
        <w:rPr>
          <w:rFonts w:ascii="Palatino Linotype" w:hAnsi="Palatino Linotype"/>
          <w:b/>
          <w:sz w:val="24"/>
          <w:szCs w:val="24"/>
        </w:rPr>
        <w:t>legalidade e pela r</w:t>
      </w:r>
      <w:r w:rsidRPr="00522048">
        <w:rPr>
          <w:rFonts w:ascii="Palatino Linotype" w:hAnsi="Palatino Linotype"/>
          <w:b/>
          <w:sz w:val="24"/>
          <w:szCs w:val="24"/>
        </w:rPr>
        <w:t>e</w:t>
      </w:r>
      <w:r w:rsidRPr="00522048">
        <w:rPr>
          <w:rFonts w:ascii="Palatino Linotype" w:hAnsi="Palatino Linotype"/>
          <w:b/>
          <w:sz w:val="24"/>
          <w:szCs w:val="24"/>
        </w:rPr>
        <w:t xml:space="preserve">gular tramitação do Projeto de Lei </w:t>
      </w:r>
      <w:r w:rsidR="002F5D5E" w:rsidRPr="00522048">
        <w:rPr>
          <w:rFonts w:ascii="Palatino Linotype" w:hAnsi="Palatino Linotype"/>
          <w:b/>
          <w:sz w:val="24"/>
          <w:szCs w:val="24"/>
        </w:rPr>
        <w:t xml:space="preserve">do Executivo </w:t>
      </w:r>
      <w:r w:rsidRPr="00522048">
        <w:rPr>
          <w:rFonts w:ascii="Palatino Linotype" w:hAnsi="Palatino Linotype"/>
          <w:b/>
          <w:sz w:val="24"/>
          <w:szCs w:val="24"/>
        </w:rPr>
        <w:t xml:space="preserve">nº </w:t>
      </w:r>
      <w:r w:rsidR="00F67A7F" w:rsidRPr="00522048">
        <w:rPr>
          <w:rFonts w:ascii="Palatino Linotype" w:hAnsi="Palatino Linotype"/>
          <w:b/>
          <w:sz w:val="24"/>
          <w:szCs w:val="24"/>
        </w:rPr>
        <w:t>0</w:t>
      </w:r>
      <w:r w:rsidR="00093582" w:rsidRPr="00522048">
        <w:rPr>
          <w:rFonts w:ascii="Palatino Linotype" w:hAnsi="Palatino Linotype"/>
          <w:b/>
          <w:sz w:val="24"/>
          <w:szCs w:val="24"/>
        </w:rPr>
        <w:t>56</w:t>
      </w:r>
      <w:r w:rsidRPr="00522048">
        <w:rPr>
          <w:rFonts w:ascii="Palatino Linotype" w:hAnsi="Palatino Linotype"/>
          <w:b/>
          <w:sz w:val="24"/>
          <w:szCs w:val="24"/>
        </w:rPr>
        <w:t>/20</w:t>
      </w:r>
      <w:r w:rsidR="009908E3" w:rsidRPr="00522048">
        <w:rPr>
          <w:rFonts w:ascii="Palatino Linotype" w:hAnsi="Palatino Linotype"/>
          <w:b/>
          <w:sz w:val="24"/>
          <w:szCs w:val="24"/>
        </w:rPr>
        <w:t>2</w:t>
      </w:r>
      <w:r w:rsidRPr="00522048">
        <w:rPr>
          <w:rFonts w:ascii="Palatino Linotype" w:hAnsi="Palatino Linotype"/>
          <w:b/>
          <w:sz w:val="24"/>
          <w:szCs w:val="24"/>
        </w:rPr>
        <w:t>1</w:t>
      </w:r>
      <w:r w:rsidR="002F5D5E" w:rsidRPr="00522048">
        <w:rPr>
          <w:rFonts w:ascii="Palatino Linotype" w:hAnsi="Palatino Linotype"/>
          <w:b/>
          <w:sz w:val="24"/>
          <w:szCs w:val="24"/>
        </w:rPr>
        <w:t xml:space="preserve">, </w:t>
      </w:r>
      <w:r w:rsidR="002F5D5E" w:rsidRPr="00522048">
        <w:rPr>
          <w:rFonts w:ascii="Palatino Linotype" w:hAnsi="Palatino Linotype"/>
          <w:sz w:val="24"/>
          <w:szCs w:val="24"/>
        </w:rPr>
        <w:t>por inexistirem vícios de natureza material ou formal que impeçam a sua deliberação em Plen</w:t>
      </w:r>
      <w:r w:rsidR="002F5D5E" w:rsidRPr="00522048">
        <w:rPr>
          <w:rFonts w:ascii="Palatino Linotype" w:hAnsi="Palatino Linotype"/>
          <w:sz w:val="24"/>
          <w:szCs w:val="24"/>
        </w:rPr>
        <w:t>á</w:t>
      </w:r>
      <w:r w:rsidR="002F5D5E" w:rsidRPr="00522048">
        <w:rPr>
          <w:rFonts w:ascii="Palatino Linotype" w:hAnsi="Palatino Linotype"/>
          <w:sz w:val="24"/>
          <w:szCs w:val="24"/>
        </w:rPr>
        <w:t>rio</w:t>
      </w:r>
      <w:r w:rsidR="00643ECD" w:rsidRPr="00522048">
        <w:rPr>
          <w:rFonts w:ascii="Palatino Linotype" w:hAnsi="Palatino Linotype"/>
          <w:sz w:val="24"/>
          <w:szCs w:val="24"/>
        </w:rPr>
        <w:t>.</w:t>
      </w:r>
    </w:p>
    <w:p w:rsidR="00B06461" w:rsidRPr="00522048" w:rsidRDefault="00B06461" w:rsidP="00266DEF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</w:p>
    <w:p w:rsidR="00843B9C" w:rsidRPr="00522048" w:rsidRDefault="00D0667D" w:rsidP="00266DEF">
      <w:pPr>
        <w:spacing w:after="0" w:line="360" w:lineRule="auto"/>
        <w:ind w:firstLine="1134"/>
        <w:jc w:val="both"/>
        <w:rPr>
          <w:rFonts w:ascii="Palatino Linotype" w:hAnsi="Palatino Linotype"/>
          <w:b/>
          <w:sz w:val="24"/>
          <w:szCs w:val="24"/>
        </w:rPr>
      </w:pPr>
      <w:r w:rsidRPr="00522048">
        <w:rPr>
          <w:rFonts w:ascii="Palatino Linotype" w:hAnsi="Palatino Linotype"/>
          <w:b/>
          <w:sz w:val="24"/>
          <w:szCs w:val="24"/>
        </w:rPr>
        <w:t>Por último, c</w:t>
      </w:r>
      <w:r w:rsidR="00843B9C" w:rsidRPr="00522048">
        <w:rPr>
          <w:rFonts w:ascii="Palatino Linotype" w:hAnsi="Palatino Linotype"/>
          <w:b/>
          <w:sz w:val="24"/>
          <w:szCs w:val="24"/>
        </w:rPr>
        <w:t>abe ressaltar o</w:t>
      </w:r>
      <w:r w:rsidRPr="00522048">
        <w:rPr>
          <w:rFonts w:ascii="Palatino Linotype" w:hAnsi="Palatino Linotype"/>
          <w:b/>
          <w:sz w:val="24"/>
          <w:szCs w:val="24"/>
        </w:rPr>
        <w:t>s</w:t>
      </w:r>
      <w:r w:rsidR="00843B9C" w:rsidRPr="00522048">
        <w:rPr>
          <w:rFonts w:ascii="Palatino Linotype" w:hAnsi="Palatino Linotype"/>
          <w:b/>
          <w:sz w:val="24"/>
          <w:szCs w:val="24"/>
        </w:rPr>
        <w:t xml:space="preserve"> quóruns exigidos pelo art. 18, § 2º da LOM</w:t>
      </w:r>
      <w:r w:rsidR="0018466E" w:rsidRPr="00522048">
        <w:rPr>
          <w:rFonts w:ascii="Palatino Linotype" w:hAnsi="Palatino Linotype"/>
          <w:b/>
          <w:sz w:val="24"/>
          <w:szCs w:val="24"/>
        </w:rPr>
        <w:t xml:space="preserve"> -</w:t>
      </w:r>
      <w:r w:rsidR="00843B9C" w:rsidRPr="00522048">
        <w:rPr>
          <w:rFonts w:ascii="Palatino Linotype" w:hAnsi="Palatino Linotype"/>
          <w:b/>
          <w:sz w:val="24"/>
          <w:szCs w:val="24"/>
        </w:rPr>
        <w:t xml:space="preserve"> </w:t>
      </w:r>
      <w:r w:rsidR="00843B9C" w:rsidRPr="00522048">
        <w:rPr>
          <w:rFonts w:ascii="Palatino Linotype" w:hAnsi="Palatino Linotype"/>
          <w:b/>
          <w:sz w:val="24"/>
          <w:szCs w:val="24"/>
          <w:u w:val="single"/>
        </w:rPr>
        <w:t>presença de 2/3 e aprovação por maioria absoluta</w:t>
      </w:r>
      <w:r w:rsidR="00843B9C" w:rsidRPr="00522048">
        <w:rPr>
          <w:rFonts w:ascii="Palatino Linotype" w:hAnsi="Palatino Linotype"/>
          <w:b/>
          <w:sz w:val="24"/>
          <w:szCs w:val="24"/>
        </w:rPr>
        <w:t xml:space="preserve">, por se tratar de </w:t>
      </w:r>
      <w:r w:rsidR="00BA1BD8" w:rsidRPr="00522048">
        <w:rPr>
          <w:rFonts w:ascii="Palatino Linotype" w:hAnsi="Palatino Linotype"/>
          <w:b/>
          <w:sz w:val="24"/>
          <w:szCs w:val="24"/>
        </w:rPr>
        <w:t>vot</w:t>
      </w:r>
      <w:r w:rsidR="00BA1BD8" w:rsidRPr="00522048">
        <w:rPr>
          <w:rFonts w:ascii="Palatino Linotype" w:hAnsi="Palatino Linotype"/>
          <w:b/>
          <w:sz w:val="24"/>
          <w:szCs w:val="24"/>
        </w:rPr>
        <w:t>a</w:t>
      </w:r>
      <w:r w:rsidR="00BA1BD8" w:rsidRPr="00522048">
        <w:rPr>
          <w:rFonts w:ascii="Palatino Linotype" w:hAnsi="Palatino Linotype"/>
          <w:b/>
          <w:sz w:val="24"/>
          <w:szCs w:val="24"/>
        </w:rPr>
        <w:t xml:space="preserve">ção de </w:t>
      </w:r>
      <w:r w:rsidR="00843B9C" w:rsidRPr="00522048">
        <w:rPr>
          <w:rFonts w:ascii="Palatino Linotype" w:hAnsi="Palatino Linotype"/>
          <w:b/>
          <w:sz w:val="24"/>
          <w:szCs w:val="24"/>
        </w:rPr>
        <w:t>e</w:t>
      </w:r>
      <w:r w:rsidR="00843B9C" w:rsidRPr="00522048">
        <w:rPr>
          <w:rFonts w:ascii="Palatino Linotype" w:hAnsi="Palatino Linotype"/>
          <w:b/>
          <w:sz w:val="24"/>
          <w:szCs w:val="24"/>
        </w:rPr>
        <w:t>m</w:t>
      </w:r>
      <w:r w:rsidR="00843B9C" w:rsidRPr="00522048">
        <w:rPr>
          <w:rFonts w:ascii="Palatino Linotype" w:hAnsi="Palatino Linotype"/>
          <w:b/>
          <w:sz w:val="24"/>
          <w:szCs w:val="24"/>
        </w:rPr>
        <w:t>préstimo</w:t>
      </w:r>
      <w:r w:rsidR="00DB683F" w:rsidRPr="00522048">
        <w:rPr>
          <w:rFonts w:ascii="Palatino Linotype" w:hAnsi="Palatino Linotype"/>
          <w:b/>
          <w:sz w:val="24"/>
          <w:szCs w:val="24"/>
        </w:rPr>
        <w:t>.</w:t>
      </w:r>
    </w:p>
    <w:p w:rsidR="0018466E" w:rsidRPr="00522048" w:rsidRDefault="0018466E" w:rsidP="0018466E">
      <w:pPr>
        <w:spacing w:after="0" w:line="360" w:lineRule="auto"/>
        <w:ind w:left="1698" w:firstLine="1134"/>
        <w:jc w:val="both"/>
        <w:rPr>
          <w:rFonts w:ascii="Palatino Linotype" w:hAnsi="Palatino Linotype"/>
          <w:sz w:val="24"/>
          <w:szCs w:val="24"/>
        </w:rPr>
      </w:pPr>
    </w:p>
    <w:p w:rsidR="005F2985" w:rsidRPr="00522048" w:rsidRDefault="0055539F" w:rsidP="005841B0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522048">
        <w:rPr>
          <w:rFonts w:ascii="Palatino Linotype" w:hAnsi="Palatino Linotype"/>
          <w:sz w:val="24"/>
          <w:szCs w:val="24"/>
        </w:rPr>
        <w:t>É o parecer.</w:t>
      </w:r>
    </w:p>
    <w:p w:rsidR="009F36C4" w:rsidRPr="00522048" w:rsidRDefault="009F36C4" w:rsidP="005841B0">
      <w:pPr>
        <w:spacing w:after="0" w:line="240" w:lineRule="auto"/>
        <w:ind w:firstLine="1134"/>
        <w:jc w:val="both"/>
        <w:rPr>
          <w:rFonts w:ascii="Palatino Linotype" w:hAnsi="Palatino Linotype"/>
          <w:sz w:val="24"/>
          <w:szCs w:val="24"/>
        </w:rPr>
      </w:pPr>
    </w:p>
    <w:p w:rsidR="0055539F" w:rsidRPr="00522048" w:rsidRDefault="0055539F" w:rsidP="005841B0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522048">
        <w:rPr>
          <w:rFonts w:ascii="Palatino Linotype" w:hAnsi="Palatino Linotype"/>
          <w:sz w:val="24"/>
          <w:szCs w:val="24"/>
        </w:rPr>
        <w:t xml:space="preserve">Guaíba, </w:t>
      </w:r>
      <w:r w:rsidR="00093582" w:rsidRPr="00522048">
        <w:rPr>
          <w:rFonts w:ascii="Palatino Linotype" w:hAnsi="Palatino Linotype"/>
          <w:sz w:val="24"/>
          <w:szCs w:val="24"/>
        </w:rPr>
        <w:t>17</w:t>
      </w:r>
      <w:r w:rsidRPr="00522048">
        <w:rPr>
          <w:rFonts w:ascii="Palatino Linotype" w:hAnsi="Palatino Linotype"/>
          <w:sz w:val="24"/>
          <w:szCs w:val="24"/>
        </w:rPr>
        <w:t xml:space="preserve"> de </w:t>
      </w:r>
      <w:r w:rsidR="00093582" w:rsidRPr="00522048">
        <w:rPr>
          <w:rFonts w:ascii="Palatino Linotype" w:hAnsi="Palatino Linotype"/>
          <w:sz w:val="24"/>
          <w:szCs w:val="24"/>
        </w:rPr>
        <w:t>n</w:t>
      </w:r>
      <w:r w:rsidR="00B16962" w:rsidRPr="00522048">
        <w:rPr>
          <w:rFonts w:ascii="Palatino Linotype" w:hAnsi="Palatino Linotype"/>
          <w:sz w:val="24"/>
          <w:szCs w:val="24"/>
        </w:rPr>
        <w:t>o</w:t>
      </w:r>
      <w:r w:rsidR="00093582" w:rsidRPr="00522048">
        <w:rPr>
          <w:rFonts w:ascii="Palatino Linotype" w:hAnsi="Palatino Linotype"/>
          <w:sz w:val="24"/>
          <w:szCs w:val="24"/>
        </w:rPr>
        <w:t>vembro</w:t>
      </w:r>
      <w:r w:rsidRPr="00522048">
        <w:rPr>
          <w:rFonts w:ascii="Palatino Linotype" w:hAnsi="Palatino Linotype"/>
          <w:sz w:val="24"/>
          <w:szCs w:val="24"/>
        </w:rPr>
        <w:t xml:space="preserve"> de 20</w:t>
      </w:r>
      <w:r w:rsidR="001F0C81" w:rsidRPr="00522048">
        <w:rPr>
          <w:rFonts w:ascii="Palatino Linotype" w:hAnsi="Palatino Linotype"/>
          <w:sz w:val="24"/>
          <w:szCs w:val="24"/>
        </w:rPr>
        <w:t>2</w:t>
      </w:r>
      <w:r w:rsidRPr="00522048">
        <w:rPr>
          <w:rFonts w:ascii="Palatino Linotype" w:hAnsi="Palatino Linotype"/>
          <w:sz w:val="24"/>
          <w:szCs w:val="24"/>
        </w:rPr>
        <w:t>1.</w:t>
      </w:r>
    </w:p>
    <w:p w:rsidR="0055539F" w:rsidRPr="00522048" w:rsidRDefault="0055539F" w:rsidP="00266DEF">
      <w:pPr>
        <w:spacing w:after="0" w:line="360" w:lineRule="auto"/>
        <w:jc w:val="center"/>
        <w:rPr>
          <w:rFonts w:ascii="Palatino Linotype" w:hAnsi="Palatino Linotype"/>
          <w:sz w:val="24"/>
          <w:szCs w:val="24"/>
        </w:rPr>
      </w:pPr>
    </w:p>
    <w:p w:rsidR="0055539F" w:rsidRPr="00522048" w:rsidRDefault="00707BAA" w:rsidP="00575865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522048">
        <w:rPr>
          <w:rFonts w:ascii="Palatino Linotype" w:hAnsi="Palatino Linotype"/>
          <w:b/>
          <w:sz w:val="24"/>
          <w:szCs w:val="24"/>
        </w:rPr>
        <w:t>FERNANDO HENRIQUE ESCOBAR BINS</w:t>
      </w:r>
    </w:p>
    <w:p w:rsidR="00C7445E" w:rsidRPr="00522048" w:rsidRDefault="00707BAA" w:rsidP="00575865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522048">
        <w:rPr>
          <w:rFonts w:ascii="Palatino Linotype" w:hAnsi="Palatino Linotype"/>
          <w:sz w:val="24"/>
          <w:szCs w:val="24"/>
        </w:rPr>
        <w:t>Procurador</w:t>
      </w:r>
      <w:r w:rsidR="006E55D7" w:rsidRPr="00522048">
        <w:rPr>
          <w:rFonts w:ascii="Palatino Linotype" w:hAnsi="Palatino Linotype"/>
          <w:sz w:val="24"/>
          <w:szCs w:val="24"/>
        </w:rPr>
        <w:t>-</w:t>
      </w:r>
      <w:r w:rsidRPr="00522048">
        <w:rPr>
          <w:rFonts w:ascii="Palatino Linotype" w:hAnsi="Palatino Linotype"/>
          <w:sz w:val="24"/>
          <w:szCs w:val="24"/>
        </w:rPr>
        <w:t>Geral</w:t>
      </w:r>
    </w:p>
    <w:p w:rsidR="00266DEF" w:rsidRPr="00522048" w:rsidRDefault="00266DEF" w:rsidP="00575865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522048">
        <w:rPr>
          <w:rFonts w:ascii="Palatino Linotype" w:hAnsi="Palatino Linotype"/>
          <w:sz w:val="24"/>
          <w:szCs w:val="24"/>
        </w:rPr>
        <w:t>OAB/RS 107.136</w:t>
      </w:r>
    </w:p>
    <w:sectPr w:rsidR="00266DEF" w:rsidRPr="00522048" w:rsidSect="00E72CC4">
      <w:headerReference w:type="default" r:id="rId8"/>
      <w:footerReference w:type="default" r:id="rId9"/>
      <w:pgSz w:w="11906" w:h="16838"/>
      <w:pgMar w:top="1417" w:right="1701" w:bottom="1417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DA6" w:rsidRDefault="00126DA6" w:rsidP="00B365A3">
      <w:pPr>
        <w:spacing w:after="0" w:line="240" w:lineRule="auto"/>
      </w:pPr>
      <w:r>
        <w:separator/>
      </w:r>
    </w:p>
  </w:endnote>
  <w:endnote w:type="continuationSeparator" w:id="1">
    <w:p w:rsidR="00126DA6" w:rsidRDefault="00126DA6" w:rsidP="00B3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553001"/>
      <w:docPartObj>
        <w:docPartGallery w:val="Page Numbers (Bottom of Page)"/>
        <w:docPartUnique/>
      </w:docPartObj>
    </w:sdtPr>
    <w:sdtContent>
      <w:p w:rsidR="009B44D9" w:rsidRDefault="00FC655F">
        <w:pPr>
          <w:pStyle w:val="Rodap"/>
          <w:jc w:val="right"/>
        </w:pPr>
        <w:fldSimple w:instr=" PAGE   \* MERGEFORMAT ">
          <w:r w:rsidR="00E92C9F">
            <w:rPr>
              <w:noProof/>
            </w:rPr>
            <w:t>8</w:t>
          </w:r>
        </w:fldSimple>
      </w:p>
    </w:sdtContent>
  </w:sdt>
  <w:p w:rsidR="009B44D9" w:rsidRDefault="009B44D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DA6" w:rsidRDefault="00126DA6" w:rsidP="00B365A3">
      <w:pPr>
        <w:spacing w:after="0" w:line="240" w:lineRule="auto"/>
      </w:pPr>
      <w:r>
        <w:separator/>
      </w:r>
    </w:p>
  </w:footnote>
  <w:footnote w:type="continuationSeparator" w:id="1">
    <w:p w:rsidR="00126DA6" w:rsidRDefault="00126DA6" w:rsidP="00B365A3">
      <w:pPr>
        <w:spacing w:after="0" w:line="240" w:lineRule="auto"/>
      </w:pPr>
      <w:r>
        <w:continuationSeparator/>
      </w:r>
    </w:p>
  </w:footnote>
  <w:footnote w:id="2">
    <w:p w:rsidR="003C38DD" w:rsidRDefault="003C38D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3C38DD">
        <w:t>Advocacia-Geral da União. Parecer nº 2/2018/GAB/CGU/AGU.</w:t>
      </w:r>
      <w:r>
        <w:t xml:space="preserve"> </w:t>
      </w:r>
    </w:p>
  </w:footnote>
  <w:footnote w:id="3">
    <w:p w:rsidR="00E92C9F" w:rsidRDefault="00E92C9F" w:rsidP="00E92C9F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hyperlink r:id="rId1" w:history="1">
        <w:r w:rsidRPr="00E92C9F">
          <w:t>https://sisweb.tesouro.gov.br/apex/f?p=2501:9::::9:P9_ID_PUBLICACAO_ANEXO:13774</w:t>
        </w:r>
      </w:hyperlink>
      <w:r>
        <w:t xml:space="preserve">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191" w:rsidRDefault="002C0191" w:rsidP="002C0191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248150" cy="781050"/>
          <wp:effectExtent l="19050" t="0" r="0" b="0"/>
          <wp:docPr id="2" name="Imagem 3" descr="C:\Users\Juridico\AppData\Local\Microsoft\Windows\INetCache\Content.Word\Brasã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ridico\AppData\Local\Microsoft\Windows\INetCache\Content.Word\Brasã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0191" w:rsidRDefault="002C0191" w:rsidP="002C0191">
    <w:pPr>
      <w:pStyle w:val="Cabealho"/>
      <w:pBdr>
        <w:bottom w:val="single" w:sz="4" w:space="1" w:color="auto"/>
      </w:pBdr>
      <w:jc w:val="center"/>
      <w:rPr>
        <w:rFonts w:ascii="Century Schoolbook" w:hAnsi="Century Schoolbook"/>
        <w:b/>
        <w:sz w:val="18"/>
      </w:rPr>
    </w:pPr>
    <w:r w:rsidRPr="009575A3">
      <w:rPr>
        <w:rFonts w:ascii="Century Schoolbook" w:hAnsi="Century Schoolbook"/>
        <w:b/>
        <w:sz w:val="18"/>
      </w:rPr>
      <w:t>PROCURADORIA JURÍDICA</w:t>
    </w:r>
  </w:p>
  <w:p w:rsidR="002C0191" w:rsidRDefault="002C0191" w:rsidP="002C0191">
    <w:pPr>
      <w:pStyle w:val="Cabealho"/>
      <w:jc w:val="center"/>
      <w:rPr>
        <w:rFonts w:ascii="Century Schoolbook" w:hAnsi="Century Schoolbook"/>
        <w:b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D3C8B"/>
    <w:multiLevelType w:val="multilevel"/>
    <w:tmpl w:val="4218103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">
    <w:nsid w:val="722D753E"/>
    <w:multiLevelType w:val="hybridMultilevel"/>
    <w:tmpl w:val="D214E876"/>
    <w:lvl w:ilvl="0" w:tplc="9258DC7A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5A3"/>
    <w:rsid w:val="00000830"/>
    <w:rsid w:val="000031F7"/>
    <w:rsid w:val="00032713"/>
    <w:rsid w:val="00036BC1"/>
    <w:rsid w:val="00042528"/>
    <w:rsid w:val="00047827"/>
    <w:rsid w:val="0005138A"/>
    <w:rsid w:val="000714D3"/>
    <w:rsid w:val="00075784"/>
    <w:rsid w:val="00080580"/>
    <w:rsid w:val="00083311"/>
    <w:rsid w:val="000840CF"/>
    <w:rsid w:val="0009110F"/>
    <w:rsid w:val="00093582"/>
    <w:rsid w:val="000D682E"/>
    <w:rsid w:val="000D7FFE"/>
    <w:rsid w:val="000F787E"/>
    <w:rsid w:val="00110DB4"/>
    <w:rsid w:val="001144C0"/>
    <w:rsid w:val="00126DA6"/>
    <w:rsid w:val="00130C84"/>
    <w:rsid w:val="00147CB3"/>
    <w:rsid w:val="00163012"/>
    <w:rsid w:val="0017045F"/>
    <w:rsid w:val="0018466E"/>
    <w:rsid w:val="001A433C"/>
    <w:rsid w:val="001B00E0"/>
    <w:rsid w:val="001B7902"/>
    <w:rsid w:val="001E09CD"/>
    <w:rsid w:val="001E1970"/>
    <w:rsid w:val="001E2FD9"/>
    <w:rsid w:val="001F0C81"/>
    <w:rsid w:val="001F2B7A"/>
    <w:rsid w:val="001F5FE9"/>
    <w:rsid w:val="001F6234"/>
    <w:rsid w:val="001F6BDB"/>
    <w:rsid w:val="001F7FAA"/>
    <w:rsid w:val="00234C51"/>
    <w:rsid w:val="00244FC3"/>
    <w:rsid w:val="00266DEF"/>
    <w:rsid w:val="002953B3"/>
    <w:rsid w:val="002A7750"/>
    <w:rsid w:val="002C0191"/>
    <w:rsid w:val="002C4CED"/>
    <w:rsid w:val="002C4DC7"/>
    <w:rsid w:val="002C6F2E"/>
    <w:rsid w:val="002E1A90"/>
    <w:rsid w:val="002F5D5E"/>
    <w:rsid w:val="002F62AD"/>
    <w:rsid w:val="0030660D"/>
    <w:rsid w:val="00314B3D"/>
    <w:rsid w:val="003426B2"/>
    <w:rsid w:val="00344A31"/>
    <w:rsid w:val="0035783E"/>
    <w:rsid w:val="003617F4"/>
    <w:rsid w:val="00383D64"/>
    <w:rsid w:val="0039086F"/>
    <w:rsid w:val="003931E2"/>
    <w:rsid w:val="003A6FD2"/>
    <w:rsid w:val="003B0783"/>
    <w:rsid w:val="003B537B"/>
    <w:rsid w:val="003B58F5"/>
    <w:rsid w:val="003C38DD"/>
    <w:rsid w:val="003C6FC5"/>
    <w:rsid w:val="003C7D36"/>
    <w:rsid w:val="003E6033"/>
    <w:rsid w:val="003F139A"/>
    <w:rsid w:val="003F5DFC"/>
    <w:rsid w:val="004064C9"/>
    <w:rsid w:val="0041616C"/>
    <w:rsid w:val="00416177"/>
    <w:rsid w:val="00421040"/>
    <w:rsid w:val="00425A73"/>
    <w:rsid w:val="00432656"/>
    <w:rsid w:val="00451AC1"/>
    <w:rsid w:val="0046128D"/>
    <w:rsid w:val="0047150E"/>
    <w:rsid w:val="004D301B"/>
    <w:rsid w:val="004E2996"/>
    <w:rsid w:val="005014F1"/>
    <w:rsid w:val="00507B7D"/>
    <w:rsid w:val="00522048"/>
    <w:rsid w:val="005243B8"/>
    <w:rsid w:val="00546248"/>
    <w:rsid w:val="00554FF0"/>
    <w:rsid w:val="0055539F"/>
    <w:rsid w:val="0057384C"/>
    <w:rsid w:val="00575865"/>
    <w:rsid w:val="005841B0"/>
    <w:rsid w:val="0059120E"/>
    <w:rsid w:val="005C2799"/>
    <w:rsid w:val="005C2A0F"/>
    <w:rsid w:val="005D461B"/>
    <w:rsid w:val="005D515A"/>
    <w:rsid w:val="005E2D70"/>
    <w:rsid w:val="005E33A6"/>
    <w:rsid w:val="005E62F3"/>
    <w:rsid w:val="005F2985"/>
    <w:rsid w:val="00600BF9"/>
    <w:rsid w:val="00611213"/>
    <w:rsid w:val="00627D76"/>
    <w:rsid w:val="006416AD"/>
    <w:rsid w:val="00643ECD"/>
    <w:rsid w:val="00645E0E"/>
    <w:rsid w:val="00686F8B"/>
    <w:rsid w:val="006B2A31"/>
    <w:rsid w:val="006B4233"/>
    <w:rsid w:val="006C1B70"/>
    <w:rsid w:val="006E55D7"/>
    <w:rsid w:val="00707BAA"/>
    <w:rsid w:val="00710509"/>
    <w:rsid w:val="00716012"/>
    <w:rsid w:val="00771277"/>
    <w:rsid w:val="007854E6"/>
    <w:rsid w:val="007907F1"/>
    <w:rsid w:val="00793E64"/>
    <w:rsid w:val="007B458E"/>
    <w:rsid w:val="007C2FF7"/>
    <w:rsid w:val="007F312A"/>
    <w:rsid w:val="00810390"/>
    <w:rsid w:val="00811016"/>
    <w:rsid w:val="008138B2"/>
    <w:rsid w:val="008165C9"/>
    <w:rsid w:val="00820BFB"/>
    <w:rsid w:val="008300F1"/>
    <w:rsid w:val="0083177D"/>
    <w:rsid w:val="00836541"/>
    <w:rsid w:val="008426D4"/>
    <w:rsid w:val="00843B9C"/>
    <w:rsid w:val="00846CE8"/>
    <w:rsid w:val="00847C81"/>
    <w:rsid w:val="00881A21"/>
    <w:rsid w:val="008A02A8"/>
    <w:rsid w:val="008A7167"/>
    <w:rsid w:val="008B25C6"/>
    <w:rsid w:val="008B344F"/>
    <w:rsid w:val="008D09D6"/>
    <w:rsid w:val="008D3450"/>
    <w:rsid w:val="008E1846"/>
    <w:rsid w:val="009039C0"/>
    <w:rsid w:val="00904A30"/>
    <w:rsid w:val="00905B60"/>
    <w:rsid w:val="00906B7B"/>
    <w:rsid w:val="009115EA"/>
    <w:rsid w:val="009165BB"/>
    <w:rsid w:val="00917B7E"/>
    <w:rsid w:val="00917C86"/>
    <w:rsid w:val="00923A26"/>
    <w:rsid w:val="0094683D"/>
    <w:rsid w:val="00965DF3"/>
    <w:rsid w:val="009677B1"/>
    <w:rsid w:val="009762CB"/>
    <w:rsid w:val="00983074"/>
    <w:rsid w:val="009908E3"/>
    <w:rsid w:val="009A1232"/>
    <w:rsid w:val="009B44D9"/>
    <w:rsid w:val="009B7D3B"/>
    <w:rsid w:val="009B7FCE"/>
    <w:rsid w:val="009D1170"/>
    <w:rsid w:val="009E03A3"/>
    <w:rsid w:val="009F2C08"/>
    <w:rsid w:val="009F36C4"/>
    <w:rsid w:val="00A02E8C"/>
    <w:rsid w:val="00A113ED"/>
    <w:rsid w:val="00A30E3D"/>
    <w:rsid w:val="00A31E72"/>
    <w:rsid w:val="00A40AFC"/>
    <w:rsid w:val="00A44AFE"/>
    <w:rsid w:val="00A46E07"/>
    <w:rsid w:val="00A4780E"/>
    <w:rsid w:val="00A60186"/>
    <w:rsid w:val="00A646C1"/>
    <w:rsid w:val="00A77DF1"/>
    <w:rsid w:val="00A8069E"/>
    <w:rsid w:val="00A808BC"/>
    <w:rsid w:val="00A91A8F"/>
    <w:rsid w:val="00AA4D8F"/>
    <w:rsid w:val="00AC4037"/>
    <w:rsid w:val="00AF1077"/>
    <w:rsid w:val="00AF6E8B"/>
    <w:rsid w:val="00B06461"/>
    <w:rsid w:val="00B064F5"/>
    <w:rsid w:val="00B06D5C"/>
    <w:rsid w:val="00B150ED"/>
    <w:rsid w:val="00B16962"/>
    <w:rsid w:val="00B3299D"/>
    <w:rsid w:val="00B365A3"/>
    <w:rsid w:val="00B47574"/>
    <w:rsid w:val="00B531A1"/>
    <w:rsid w:val="00B547E3"/>
    <w:rsid w:val="00B65762"/>
    <w:rsid w:val="00B66433"/>
    <w:rsid w:val="00B91720"/>
    <w:rsid w:val="00B92A8E"/>
    <w:rsid w:val="00BA1BD8"/>
    <w:rsid w:val="00BC44BA"/>
    <w:rsid w:val="00BD17DD"/>
    <w:rsid w:val="00BF2F3D"/>
    <w:rsid w:val="00C01FDD"/>
    <w:rsid w:val="00C12338"/>
    <w:rsid w:val="00C13E09"/>
    <w:rsid w:val="00C23352"/>
    <w:rsid w:val="00C2588D"/>
    <w:rsid w:val="00C25AE2"/>
    <w:rsid w:val="00C340F5"/>
    <w:rsid w:val="00C355AD"/>
    <w:rsid w:val="00C44B0F"/>
    <w:rsid w:val="00C6297C"/>
    <w:rsid w:val="00C66017"/>
    <w:rsid w:val="00C7445E"/>
    <w:rsid w:val="00C762F0"/>
    <w:rsid w:val="00C92B80"/>
    <w:rsid w:val="00C93C52"/>
    <w:rsid w:val="00CB7541"/>
    <w:rsid w:val="00CC7FAB"/>
    <w:rsid w:val="00CD63E8"/>
    <w:rsid w:val="00CE1DD3"/>
    <w:rsid w:val="00CF2BF7"/>
    <w:rsid w:val="00CF6474"/>
    <w:rsid w:val="00D003DA"/>
    <w:rsid w:val="00D043C5"/>
    <w:rsid w:val="00D0667D"/>
    <w:rsid w:val="00D23027"/>
    <w:rsid w:val="00D31DEC"/>
    <w:rsid w:val="00D57359"/>
    <w:rsid w:val="00D748C2"/>
    <w:rsid w:val="00D80211"/>
    <w:rsid w:val="00D85286"/>
    <w:rsid w:val="00D94521"/>
    <w:rsid w:val="00DA7A73"/>
    <w:rsid w:val="00DB1EF0"/>
    <w:rsid w:val="00DB683F"/>
    <w:rsid w:val="00DB7A4B"/>
    <w:rsid w:val="00DC0FFE"/>
    <w:rsid w:val="00DC5898"/>
    <w:rsid w:val="00DD157D"/>
    <w:rsid w:val="00DD3CFA"/>
    <w:rsid w:val="00E21F0A"/>
    <w:rsid w:val="00E3276E"/>
    <w:rsid w:val="00E407B8"/>
    <w:rsid w:val="00E40D8C"/>
    <w:rsid w:val="00E4505B"/>
    <w:rsid w:val="00E501C1"/>
    <w:rsid w:val="00E50DCC"/>
    <w:rsid w:val="00E5368A"/>
    <w:rsid w:val="00E63097"/>
    <w:rsid w:val="00E66A49"/>
    <w:rsid w:val="00E72CC4"/>
    <w:rsid w:val="00E92C9F"/>
    <w:rsid w:val="00E961A9"/>
    <w:rsid w:val="00EA1772"/>
    <w:rsid w:val="00EA3AA4"/>
    <w:rsid w:val="00EB5305"/>
    <w:rsid w:val="00EE0B4C"/>
    <w:rsid w:val="00EE1981"/>
    <w:rsid w:val="00F16866"/>
    <w:rsid w:val="00F24B05"/>
    <w:rsid w:val="00F43CA8"/>
    <w:rsid w:val="00F46318"/>
    <w:rsid w:val="00F510F2"/>
    <w:rsid w:val="00F527F9"/>
    <w:rsid w:val="00F6334E"/>
    <w:rsid w:val="00F6465F"/>
    <w:rsid w:val="00F67A7F"/>
    <w:rsid w:val="00F702E8"/>
    <w:rsid w:val="00F73224"/>
    <w:rsid w:val="00F7799C"/>
    <w:rsid w:val="00F85172"/>
    <w:rsid w:val="00F94625"/>
    <w:rsid w:val="00FA0369"/>
    <w:rsid w:val="00FA1E7E"/>
    <w:rsid w:val="00FB0D94"/>
    <w:rsid w:val="00FB6DA3"/>
    <w:rsid w:val="00FC1B75"/>
    <w:rsid w:val="00FC1CDE"/>
    <w:rsid w:val="00FC378F"/>
    <w:rsid w:val="00FC655F"/>
    <w:rsid w:val="00FE07DD"/>
    <w:rsid w:val="00FE1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B60"/>
  </w:style>
  <w:style w:type="paragraph" w:styleId="Ttulo1">
    <w:name w:val="heading 1"/>
    <w:basedOn w:val="Normal"/>
    <w:link w:val="Ttulo1Char"/>
    <w:uiPriority w:val="9"/>
    <w:qFormat/>
    <w:rsid w:val="00BC44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5A3"/>
  </w:style>
  <w:style w:type="paragraph" w:styleId="Rodap">
    <w:name w:val="footer"/>
    <w:basedOn w:val="Normal"/>
    <w:link w:val="RodapChar"/>
    <w:uiPriority w:val="99"/>
    <w:unhideWhenUsed/>
    <w:rsid w:val="00B36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5A3"/>
  </w:style>
  <w:style w:type="paragraph" w:styleId="Textodebalo">
    <w:name w:val="Balloon Text"/>
    <w:basedOn w:val="Normal"/>
    <w:link w:val="TextodebaloChar"/>
    <w:uiPriority w:val="99"/>
    <w:semiHidden/>
    <w:unhideWhenUsed/>
    <w:rsid w:val="00B3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65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138B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5368A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31DE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31DE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31DEC"/>
    <w:rPr>
      <w:vertAlign w:val="superscript"/>
    </w:rPr>
  </w:style>
  <w:style w:type="paragraph" w:styleId="Ttulo">
    <w:name w:val="Title"/>
    <w:basedOn w:val="Normal"/>
    <w:next w:val="Normal"/>
    <w:link w:val="TtuloChar"/>
    <w:uiPriority w:val="10"/>
    <w:qFormat/>
    <w:rsid w:val="00E21F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21F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BC44B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17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884">
          <w:blockQuote w:val="1"/>
          <w:marLeft w:val="720"/>
          <w:marRight w:val="720"/>
          <w:marTop w:val="1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062">
          <w:blockQuote w:val="1"/>
          <w:marLeft w:val="720"/>
          <w:marRight w:val="720"/>
          <w:marTop w:val="1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2229">
          <w:blockQuote w:val="1"/>
          <w:marLeft w:val="720"/>
          <w:marRight w:val="720"/>
          <w:marTop w:val="1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sweb.tesouro.gov.br/apex/f?p=2501:9::::9:P9_ID_PUBLICACAO_ANEXO:1377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DDCDC-08CD-495B-A880-7389A8F60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10</Pages>
  <Words>2455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Procuradoria</cp:lastModifiedBy>
  <cp:revision>125</cp:revision>
  <cp:lastPrinted>2017-12-18T11:35:00Z</cp:lastPrinted>
  <dcterms:created xsi:type="dcterms:W3CDTF">2019-07-09T15:42:00Z</dcterms:created>
  <dcterms:modified xsi:type="dcterms:W3CDTF">2021-11-17T12:49:00Z</dcterms:modified>
</cp:coreProperties>
</file>