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3" w:rsidRPr="00E501C1" w:rsidRDefault="008138B2" w:rsidP="00AB7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PARECER JURÍDICO</w:t>
      </w:r>
      <w:r w:rsidR="002454DE">
        <w:rPr>
          <w:b/>
          <w:sz w:val="24"/>
          <w:szCs w:val="24"/>
        </w:rPr>
        <w:t xml:space="preserve"> Nº 350/2021</w:t>
      </w:r>
    </w:p>
    <w:p w:rsidR="008138B2" w:rsidRPr="00E501C1" w:rsidRDefault="008138B2" w:rsidP="008138B2">
      <w:pPr>
        <w:spacing w:after="0" w:line="360" w:lineRule="auto"/>
        <w:jc w:val="center"/>
        <w:rPr>
          <w:b/>
          <w:sz w:val="24"/>
          <w:szCs w:val="24"/>
        </w:rPr>
      </w:pPr>
    </w:p>
    <w:p w:rsidR="008138B2" w:rsidRPr="00E501C1" w:rsidRDefault="00F85172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RELATÓRIO</w:t>
      </w:r>
    </w:p>
    <w:p w:rsidR="008138B2" w:rsidRPr="00E501C1" w:rsidRDefault="008138B2" w:rsidP="008138B2">
      <w:pPr>
        <w:spacing w:after="0" w:line="360" w:lineRule="auto"/>
        <w:jc w:val="both"/>
        <w:rPr>
          <w:b/>
          <w:sz w:val="24"/>
          <w:szCs w:val="24"/>
        </w:rPr>
      </w:pPr>
    </w:p>
    <w:p w:rsidR="001D52F6" w:rsidRDefault="009E03A3" w:rsidP="001D52F6">
      <w:pPr>
        <w:spacing w:after="0" w:line="360" w:lineRule="auto"/>
        <w:ind w:firstLine="1134"/>
        <w:jc w:val="both"/>
        <w:rPr>
          <w:sz w:val="24"/>
          <w:szCs w:val="24"/>
        </w:rPr>
      </w:pPr>
      <w:r w:rsidRPr="00E501C1">
        <w:rPr>
          <w:sz w:val="24"/>
          <w:szCs w:val="24"/>
        </w:rPr>
        <w:t xml:space="preserve">O Executivo Municipal apresentou o Projeto de Lei nº </w:t>
      </w:r>
      <w:r w:rsidR="002454DE">
        <w:rPr>
          <w:sz w:val="24"/>
          <w:szCs w:val="24"/>
        </w:rPr>
        <w:t>051/2021</w:t>
      </w:r>
      <w:r w:rsidRPr="00E501C1">
        <w:rPr>
          <w:sz w:val="24"/>
          <w:szCs w:val="24"/>
        </w:rPr>
        <w:t xml:space="preserve"> à Câmara Mun</w:t>
      </w:r>
      <w:r w:rsidRPr="00E501C1">
        <w:rPr>
          <w:sz w:val="24"/>
          <w:szCs w:val="24"/>
        </w:rPr>
        <w:t>i</w:t>
      </w:r>
      <w:r w:rsidRPr="00E501C1">
        <w:rPr>
          <w:sz w:val="24"/>
          <w:szCs w:val="24"/>
        </w:rPr>
        <w:t>cipal</w:t>
      </w:r>
      <w:r w:rsidR="008138B2" w:rsidRPr="00E501C1">
        <w:rPr>
          <w:sz w:val="24"/>
          <w:szCs w:val="24"/>
        </w:rPr>
        <w:t>,</w:t>
      </w:r>
      <w:r w:rsidRPr="00E501C1">
        <w:rPr>
          <w:sz w:val="24"/>
          <w:szCs w:val="24"/>
        </w:rPr>
        <w:t xml:space="preserve"> </w:t>
      </w:r>
      <w:r w:rsidR="009B0E80">
        <w:rPr>
          <w:sz w:val="24"/>
          <w:szCs w:val="24"/>
        </w:rPr>
        <w:t xml:space="preserve">que </w:t>
      </w:r>
      <w:r w:rsidR="00AD2EB8">
        <w:rPr>
          <w:sz w:val="24"/>
          <w:szCs w:val="24"/>
        </w:rPr>
        <w:t>autoriza o Município de Guaíba a</w:t>
      </w:r>
      <w:r w:rsidR="002454DE">
        <w:rPr>
          <w:sz w:val="24"/>
          <w:szCs w:val="24"/>
        </w:rPr>
        <w:t xml:space="preserve"> doar uma fração de terras à empresa WCA C</w:t>
      </w:r>
      <w:r w:rsidR="002454DE">
        <w:rPr>
          <w:sz w:val="24"/>
          <w:szCs w:val="24"/>
        </w:rPr>
        <w:t>o</w:t>
      </w:r>
      <w:r w:rsidR="002454DE">
        <w:rPr>
          <w:sz w:val="24"/>
          <w:szCs w:val="24"/>
        </w:rPr>
        <w:t>mércio de Alimentos LTDA</w:t>
      </w:r>
      <w:r w:rsidR="00AD2EB8">
        <w:rPr>
          <w:sz w:val="24"/>
          <w:szCs w:val="24"/>
        </w:rPr>
        <w:t>.</w:t>
      </w:r>
      <w:r w:rsidR="006007AC">
        <w:rPr>
          <w:sz w:val="24"/>
          <w:szCs w:val="24"/>
        </w:rPr>
        <w:t xml:space="preserve"> </w:t>
      </w:r>
      <w:r w:rsidR="001D52F6" w:rsidRPr="000F7E76">
        <w:rPr>
          <w:sz w:val="24"/>
          <w:szCs w:val="24"/>
        </w:rPr>
        <w:t>A proposta foi encaminhada à Procuradoria pela Presidência da Câmara para análi</w:t>
      </w:r>
      <w:r w:rsidR="00FF70A7">
        <w:rPr>
          <w:sz w:val="24"/>
          <w:szCs w:val="24"/>
        </w:rPr>
        <w:t>se nos termos do a</w:t>
      </w:r>
      <w:r w:rsidR="001D52F6" w:rsidRPr="000F7E76">
        <w:rPr>
          <w:sz w:val="24"/>
          <w:szCs w:val="24"/>
        </w:rPr>
        <w:t>rt. 105 do Regime</w:t>
      </w:r>
      <w:r w:rsidR="001D52F6" w:rsidRPr="000F7E76">
        <w:rPr>
          <w:sz w:val="24"/>
          <w:szCs w:val="24"/>
        </w:rPr>
        <w:t>n</w:t>
      </w:r>
      <w:r w:rsidR="001D52F6" w:rsidRPr="000F7E76">
        <w:rPr>
          <w:sz w:val="24"/>
          <w:szCs w:val="24"/>
        </w:rPr>
        <w:t>to</w:t>
      </w:r>
      <w:r w:rsidR="00AD2EB8">
        <w:rPr>
          <w:sz w:val="24"/>
          <w:szCs w:val="24"/>
        </w:rPr>
        <w:t>.</w:t>
      </w:r>
    </w:p>
    <w:p w:rsidR="000A4795" w:rsidRDefault="000A4795" w:rsidP="001D52F6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0A4795" w:rsidRDefault="000A4795" w:rsidP="000A479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FUNÇÕES DA PROCURADORIA JURÍDICA</w:t>
      </w:r>
    </w:p>
    <w:p w:rsidR="000A4795" w:rsidRDefault="000A4795" w:rsidP="000A4795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0A4795" w:rsidRDefault="000A4795" w:rsidP="000A4795">
      <w:pPr>
        <w:spacing w:after="0" w:line="360" w:lineRule="auto"/>
        <w:ind w:firstLine="11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Procuradoria Jurídica da Câmara de Guaíba, órgão consultivo com previsão no art. 3º da Lei Municipal nº 3.687/18, exerce as funções de assessoramento jurídico e de or</w:t>
      </w:r>
      <w:r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entação da Mesa Diretora, da Presidência da Casa e dos setores legislativos, através da emi</w:t>
      </w:r>
      <w:r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são de pareceres escritos e verbais, bem como de opiniões fundamentadas objetivando a tomada de decisões, por meio de reuniões, de manifestações escritas e de aconselhame</w:t>
      </w:r>
      <w:r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tos. Trata-se de órgão público que, embora não detenha competência decisória, orienta jur</w:t>
      </w:r>
      <w:r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dicamente o gestor público e os setores legislativos, sem caráter vinculante.</w:t>
      </w:r>
    </w:p>
    <w:p w:rsidR="000A4795" w:rsidRDefault="000A4795" w:rsidP="000A4795">
      <w:pPr>
        <w:spacing w:after="0" w:line="360" w:lineRule="auto"/>
        <w:ind w:firstLine="1134"/>
        <w:jc w:val="both"/>
        <w:rPr>
          <w:rFonts w:cs="Times New Roman"/>
          <w:sz w:val="24"/>
          <w:szCs w:val="24"/>
        </w:rPr>
      </w:pPr>
    </w:p>
    <w:p w:rsidR="000A4795" w:rsidRDefault="000A4795" w:rsidP="000A4795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Os pareceres jurídicos são atos resultantes do exercício da função consultiva de</w:t>
      </w:r>
      <w:r>
        <w:rPr>
          <w:sz w:val="24"/>
          <w:szCs w:val="24"/>
        </w:rPr>
        <w:t>s</w:t>
      </w:r>
      <w:r>
        <w:rPr>
          <w:sz w:val="24"/>
          <w:szCs w:val="24"/>
        </w:rPr>
        <w:t>ta Procuradoria Jurídica, no sentido de alertar para eventuais inconformidades que possam estar presentes. Conforme leciona Hely Lopes Meirelles</w:t>
      </w:r>
      <w:r w:rsidRPr="00584F61">
        <w:rPr>
          <w:sz w:val="24"/>
          <w:szCs w:val="24"/>
        </w:rPr>
        <w:t xml:space="preserve"> </w:t>
      </w:r>
      <w:r>
        <w:rPr>
          <w:sz w:val="24"/>
          <w:szCs w:val="24"/>
        </w:rPr>
        <w:t>na obra Direito Administrativo Bras</w:t>
      </w:r>
      <w:r>
        <w:rPr>
          <w:sz w:val="24"/>
          <w:szCs w:val="24"/>
        </w:rPr>
        <w:t>i</w:t>
      </w:r>
      <w:r>
        <w:rPr>
          <w:sz w:val="24"/>
          <w:szCs w:val="24"/>
        </w:rPr>
        <w:t>leiro, 41ª ed., Malheiros Editores: São Paulo, 2015, p. 204, “O parecer tem caráter merame</w:t>
      </w:r>
      <w:r>
        <w:rPr>
          <w:sz w:val="24"/>
          <w:szCs w:val="24"/>
        </w:rPr>
        <w:t>n</w:t>
      </w:r>
      <w:r>
        <w:rPr>
          <w:sz w:val="24"/>
          <w:szCs w:val="24"/>
        </w:rPr>
        <w:t>te opinativo, não vinculando a Administração ou os particulares à sua motivação ou concl</w:t>
      </w:r>
      <w:r>
        <w:rPr>
          <w:sz w:val="24"/>
          <w:szCs w:val="24"/>
        </w:rPr>
        <w:t>u</w:t>
      </w:r>
      <w:r>
        <w:rPr>
          <w:sz w:val="24"/>
          <w:szCs w:val="24"/>
        </w:rPr>
        <w:t>sões, salvo se aprovado por ato subsequente. Já, então, o que subsiste como ato administr</w:t>
      </w:r>
      <w:r>
        <w:rPr>
          <w:sz w:val="24"/>
          <w:szCs w:val="24"/>
        </w:rPr>
        <w:t>a</w:t>
      </w:r>
      <w:r>
        <w:rPr>
          <w:sz w:val="24"/>
          <w:szCs w:val="24"/>
        </w:rPr>
        <w:t>tivo não é o parecer, mas, sim, o ato de sua aprovação, que poderá revestir a modalidade normativa, ordinatória, negocial ou punitiva”.</w:t>
      </w:r>
    </w:p>
    <w:p w:rsidR="000A4795" w:rsidRDefault="000A4795" w:rsidP="000A4795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0A4795" w:rsidRPr="00BF24E2" w:rsidRDefault="000A4795" w:rsidP="000A4795">
      <w:pPr>
        <w:spacing w:after="0" w:line="360" w:lineRule="auto"/>
        <w:ind w:firstLine="1134"/>
        <w:jc w:val="both"/>
        <w:rPr>
          <w:rFonts w:cs="Times New Roman"/>
          <w:b/>
          <w:sz w:val="24"/>
          <w:szCs w:val="24"/>
        </w:rPr>
      </w:pPr>
      <w:r>
        <w:rPr>
          <w:sz w:val="24"/>
          <w:szCs w:val="24"/>
        </w:rPr>
        <w:t xml:space="preserve">Desse modo, a função consultiva desempenhada por esta Procuradoria com base no art. 3º da Lei Municipal nº 3.687/18 – que dispõe sobre a organização administrativa da Câmara Municipal de Guaíba – </w:t>
      </w:r>
      <w:r w:rsidRPr="00BF24E2">
        <w:rPr>
          <w:b/>
          <w:sz w:val="24"/>
          <w:szCs w:val="24"/>
        </w:rPr>
        <w:t>não é vinculante</w:t>
      </w:r>
      <w:r>
        <w:rPr>
          <w:sz w:val="24"/>
          <w:szCs w:val="24"/>
        </w:rPr>
        <w:t xml:space="preserve">, motivo pelo qual é possível, se for o caso, </w:t>
      </w:r>
      <w:r>
        <w:rPr>
          <w:sz w:val="24"/>
          <w:szCs w:val="24"/>
        </w:rPr>
        <w:lastRenderedPageBreak/>
        <w:t>que os agentes políticos formem suas próprias convicções em discordância com as opiniões manifestadas por meio do parecer jurídico.</w:t>
      </w:r>
    </w:p>
    <w:p w:rsidR="008138B2" w:rsidRPr="00E501C1" w:rsidRDefault="008138B2" w:rsidP="008138B2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138B2" w:rsidRPr="00E501C1" w:rsidRDefault="00EC7E27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MÉRITO</w:t>
      </w:r>
    </w:p>
    <w:p w:rsidR="008138B2" w:rsidRPr="00E501C1" w:rsidRDefault="008138B2" w:rsidP="008138B2">
      <w:pPr>
        <w:spacing w:after="0" w:line="360" w:lineRule="auto"/>
        <w:jc w:val="both"/>
        <w:rPr>
          <w:b/>
          <w:sz w:val="24"/>
          <w:szCs w:val="24"/>
        </w:rPr>
      </w:pPr>
    </w:p>
    <w:p w:rsidR="000A4795" w:rsidRDefault="000A4795" w:rsidP="000A4795">
      <w:pPr>
        <w:spacing w:after="0" w:line="360" w:lineRule="auto"/>
        <w:ind w:firstLine="113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Preliminarmente, verifica-se que a norma inscrita no artigo 105 do Regimento I</w:t>
      </w:r>
      <w:r>
        <w:rPr>
          <w:sz w:val="24"/>
          <w:szCs w:val="24"/>
        </w:rPr>
        <w:t>n</w:t>
      </w:r>
      <w:r>
        <w:rPr>
          <w:sz w:val="24"/>
          <w:szCs w:val="24"/>
        </w:rPr>
        <w:t>terno da Câmara Municipal de Guaíba outorga ao Presidente do Legislativo a possibilidade de devolução ao autor de proposições maculadas por manifesta inconstitucionalidade (art. 105, II), alheias à competência da Câmara (art. 105, I) ou de caráter pessoal (art. 105, III)</w:t>
      </w:r>
      <w:r w:rsidRPr="00DD7F6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Solução similar é encontrada no Regimento Interno da Câmara dos Deputados (art. 137, § 1º</w:t>
      </w:r>
      <w:r w:rsidRPr="006F6548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– parlamento em que o controle vem sendo exercido – e no Regimento Interno do Sen</w:t>
      </w:r>
      <w:r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do Federal (art. 48, XI – em que a solução é o arquivamento) e em diversos outros regime</w:t>
      </w:r>
      <w:r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tos de casas legislativas pátrias.</w:t>
      </w:r>
    </w:p>
    <w:p w:rsidR="000A4795" w:rsidRDefault="000A4795" w:rsidP="000A4795">
      <w:pPr>
        <w:spacing w:after="0" w:line="360" w:lineRule="auto"/>
        <w:ind w:firstLine="1134"/>
        <w:jc w:val="both"/>
        <w:rPr>
          <w:rFonts w:cs="Times New Roman"/>
          <w:sz w:val="24"/>
          <w:szCs w:val="24"/>
        </w:rPr>
      </w:pPr>
    </w:p>
    <w:p w:rsidR="000A4795" w:rsidRDefault="000A4795" w:rsidP="000A4795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 doutrina trata do sentido da norma jurídica inscrita no art. 105 do Regimento Interno caracterizando-o como um controle de constitucionalidade político ou preventivo, sendo tal controle exercido dentro do Parlamento, através de exame perfunctório pela Pr</w:t>
      </w:r>
      <w:r>
        <w:rPr>
          <w:sz w:val="24"/>
          <w:szCs w:val="24"/>
        </w:rPr>
        <w:t>e</w:t>
      </w:r>
      <w:r>
        <w:rPr>
          <w:sz w:val="24"/>
          <w:szCs w:val="24"/>
        </w:rPr>
        <w:t>sidência da Mesa Diretora, considerado controle preventivo de constitucionalidade interno, antes que a proposição possa percorrer todo o trâmite legislativo. Via de regra, a devolução é efetuada mediante despacho fundamentado da Presidência, indicando o artigo constit</w:t>
      </w:r>
      <w:r>
        <w:rPr>
          <w:sz w:val="24"/>
          <w:szCs w:val="24"/>
        </w:rPr>
        <w:t>u</w:t>
      </w:r>
      <w:r>
        <w:rPr>
          <w:sz w:val="24"/>
          <w:szCs w:val="24"/>
        </w:rPr>
        <w:t>cional violado, podendo o autor recorrer da decisão ao Plenário (art. 105, parágrafo único).</w:t>
      </w:r>
    </w:p>
    <w:p w:rsidR="000A4795" w:rsidRDefault="000A4795" w:rsidP="00B82A4A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C6331E" w:rsidRPr="001722BA" w:rsidRDefault="00C6331E" w:rsidP="00C6331E">
      <w:pPr>
        <w:spacing w:after="0" w:line="360" w:lineRule="auto"/>
        <w:ind w:left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 Da competência legislativa e da iniciativa do processo legislativo</w:t>
      </w:r>
    </w:p>
    <w:p w:rsidR="00C6331E" w:rsidRDefault="00C6331E" w:rsidP="00B82A4A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B82A4A" w:rsidRDefault="00B82A4A" w:rsidP="00B82A4A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Quanto à competência legislativa, não há qualquer óbice à proposta. Conforme dispõe o art. 30, I, da Constituição Federal de 1988, “Compete aos Municípios legislar sobre assuntos de interesse local.” No mesmo sentido, o art. 6º, I, da Lei Orgânica do Município de Guaíba refere que “Ao Município compete prover a tudo quanto diga respeito ao seu pecul</w:t>
      </w:r>
      <w:r>
        <w:rPr>
          <w:sz w:val="24"/>
          <w:szCs w:val="24"/>
        </w:rPr>
        <w:t>i</w:t>
      </w:r>
      <w:r>
        <w:rPr>
          <w:sz w:val="24"/>
          <w:szCs w:val="24"/>
        </w:rPr>
        <w:t>ar interesse e ao bem estar de sua população, cabendo-lhe privativamente dentre outras, as seguintes atribuições: legislar sobre assunto de interesse local”.</w:t>
      </w:r>
    </w:p>
    <w:p w:rsidR="00B82A4A" w:rsidRDefault="00B82A4A" w:rsidP="00B82A4A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B82A4A" w:rsidRDefault="00B82A4A" w:rsidP="00B82A4A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respeito da iniciativa para a deflagração do processo legislativo, uma vez que o projeto de lei apresentado propõe gerar autorização legislativa para a</w:t>
      </w:r>
      <w:r w:rsidR="002454DE">
        <w:rPr>
          <w:sz w:val="24"/>
          <w:szCs w:val="24"/>
        </w:rPr>
        <w:t xml:space="preserve"> doação de bem im</w:t>
      </w:r>
      <w:r w:rsidR="002454DE">
        <w:rPr>
          <w:sz w:val="24"/>
          <w:szCs w:val="24"/>
        </w:rPr>
        <w:t>ó</w:t>
      </w:r>
      <w:r w:rsidR="002454DE">
        <w:rPr>
          <w:sz w:val="24"/>
          <w:szCs w:val="24"/>
        </w:rPr>
        <w:t>vel a uma empresa com fins de investimento</w:t>
      </w:r>
      <w:r>
        <w:rPr>
          <w:sz w:val="24"/>
          <w:szCs w:val="24"/>
        </w:rPr>
        <w:t>, tem-se por adequada a in</w:t>
      </w:r>
      <w:r>
        <w:rPr>
          <w:sz w:val="24"/>
          <w:szCs w:val="24"/>
        </w:rPr>
        <w:t>i</w:t>
      </w:r>
      <w:r>
        <w:rPr>
          <w:sz w:val="24"/>
          <w:szCs w:val="24"/>
        </w:rPr>
        <w:t>ciativa do Prefeito. Para os fins do direito municipal, relevante é a observância das normas previstas na Constituição Estad</w:t>
      </w:r>
      <w:r>
        <w:rPr>
          <w:sz w:val="24"/>
          <w:szCs w:val="24"/>
        </w:rPr>
        <w:t>u</w:t>
      </w:r>
      <w:r>
        <w:rPr>
          <w:sz w:val="24"/>
          <w:szCs w:val="24"/>
        </w:rPr>
        <w:t>al no que diz respeito à iniciativa para o processo legislativo, visto que, em caso de eventual controle de constitucionalidade, o parâmetro para a análise da conformidade vert</w:t>
      </w:r>
      <w:r>
        <w:rPr>
          <w:sz w:val="24"/>
          <w:szCs w:val="24"/>
        </w:rPr>
        <w:t>i</w:t>
      </w:r>
      <w:r>
        <w:rPr>
          <w:sz w:val="24"/>
          <w:szCs w:val="24"/>
        </w:rPr>
        <w:t>cal se dá em relação ao disposto na Constituição Gaúcha, conforme preveem o artigo 125, § 2º, da CF/88 e o artigo 95, XII, alínea “d”, da CE/RS. Apenas exce</w:t>
      </w:r>
      <w:r>
        <w:rPr>
          <w:sz w:val="24"/>
          <w:szCs w:val="24"/>
        </w:rPr>
        <w:t>p</w:t>
      </w:r>
      <w:r>
        <w:rPr>
          <w:sz w:val="24"/>
          <w:szCs w:val="24"/>
        </w:rPr>
        <w:t>cionalmente o parâmetro da constitucionalidade será a Constituição Federal, desde que se trate de normas constit</w:t>
      </w:r>
      <w:r>
        <w:rPr>
          <w:sz w:val="24"/>
          <w:szCs w:val="24"/>
        </w:rPr>
        <w:t>u</w:t>
      </w:r>
      <w:r>
        <w:rPr>
          <w:sz w:val="24"/>
          <w:szCs w:val="24"/>
        </w:rPr>
        <w:t>cionais de reprodução obrig</w:t>
      </w:r>
      <w:r>
        <w:rPr>
          <w:sz w:val="24"/>
          <w:szCs w:val="24"/>
        </w:rPr>
        <w:t>a</w:t>
      </w:r>
      <w:r>
        <w:rPr>
          <w:sz w:val="24"/>
          <w:szCs w:val="24"/>
        </w:rPr>
        <w:t>tória (STF, RE nº 650.898/RS).</w:t>
      </w:r>
    </w:p>
    <w:p w:rsidR="00C6331E" w:rsidRDefault="00C6331E" w:rsidP="00B82A4A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B82A4A" w:rsidRDefault="00B82A4A" w:rsidP="00B82A4A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Nesse caso, refere o artigo 59 da Constituição Estadual:</w:t>
      </w:r>
    </w:p>
    <w:p w:rsidR="00B82A4A" w:rsidRDefault="00B82A4A" w:rsidP="00B82A4A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B82A4A" w:rsidRPr="006069DF" w:rsidRDefault="00B82A4A" w:rsidP="00B82A4A">
      <w:pPr>
        <w:spacing w:after="0" w:line="240" w:lineRule="auto"/>
        <w:ind w:left="2268"/>
        <w:jc w:val="both"/>
        <w:rPr>
          <w:sz w:val="20"/>
          <w:szCs w:val="20"/>
        </w:rPr>
      </w:pPr>
      <w:r w:rsidRPr="006069DF">
        <w:rPr>
          <w:sz w:val="20"/>
          <w:szCs w:val="20"/>
        </w:rPr>
        <w:t>Art. 59.</w:t>
      </w:r>
      <w:r>
        <w:rPr>
          <w:sz w:val="20"/>
          <w:szCs w:val="20"/>
        </w:rPr>
        <w:t xml:space="preserve"> </w:t>
      </w:r>
      <w:r w:rsidRPr="006069DF">
        <w:rPr>
          <w:sz w:val="20"/>
          <w:szCs w:val="20"/>
        </w:rPr>
        <w:t xml:space="preserve">A iniciativa das leis complementares e ordinárias cabe a qualquer membro ou comissão técnica da Assembléia Legislativa, à Mesa, </w:t>
      </w:r>
      <w:r w:rsidRPr="006069DF">
        <w:rPr>
          <w:b/>
          <w:sz w:val="20"/>
          <w:szCs w:val="20"/>
        </w:rPr>
        <w:t>ao Governador</w:t>
      </w:r>
      <w:r w:rsidRPr="006069DF">
        <w:rPr>
          <w:sz w:val="20"/>
          <w:szCs w:val="20"/>
        </w:rPr>
        <w:t>, ao Tribunal de Justiça, ao Procurador-Geral de Justiça, às Câmaras Municipais e aos cidadãos, nos casos e na forma previstos nesta Constituição.</w:t>
      </w:r>
    </w:p>
    <w:p w:rsidR="00B82A4A" w:rsidRPr="006069DF" w:rsidRDefault="00B82A4A" w:rsidP="00B82A4A">
      <w:pPr>
        <w:spacing w:after="0" w:line="240" w:lineRule="auto"/>
        <w:ind w:left="2268"/>
        <w:jc w:val="both"/>
        <w:rPr>
          <w:sz w:val="20"/>
          <w:szCs w:val="20"/>
        </w:rPr>
      </w:pPr>
      <w:r w:rsidRPr="006069DF">
        <w:rPr>
          <w:sz w:val="20"/>
          <w:szCs w:val="20"/>
        </w:rPr>
        <w:t>Parágrafo único. As leis complementares serão aprovadas pela maioria absoluta dos Deputados.</w:t>
      </w:r>
    </w:p>
    <w:p w:rsidR="00B82A4A" w:rsidRDefault="00B82A4A" w:rsidP="00B82A4A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B82A4A" w:rsidRDefault="00B82A4A" w:rsidP="00B82A4A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Na Lei Orgânica Municipal, constam regras sobre a competência privativa do Pr</w:t>
      </w:r>
      <w:r>
        <w:rPr>
          <w:sz w:val="24"/>
          <w:szCs w:val="24"/>
        </w:rPr>
        <w:t>e</w:t>
      </w:r>
      <w:r>
        <w:rPr>
          <w:sz w:val="24"/>
          <w:szCs w:val="24"/>
        </w:rPr>
        <w:t>feito para administrar bens municipais, do que se conclui que</w:t>
      </w:r>
      <w:r w:rsidR="00B85F53">
        <w:rPr>
          <w:sz w:val="24"/>
          <w:szCs w:val="24"/>
        </w:rPr>
        <w:t>, além do necessário processo legislativo, há reserva de iniciativa ao Chefe do Executivo:</w:t>
      </w:r>
    </w:p>
    <w:p w:rsidR="00B82A4A" w:rsidRDefault="00B82A4A" w:rsidP="00B82A4A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B82A4A" w:rsidRPr="00582732" w:rsidRDefault="00B82A4A" w:rsidP="00B82A4A">
      <w:pPr>
        <w:spacing w:after="0" w:line="240" w:lineRule="auto"/>
        <w:ind w:left="2268"/>
        <w:jc w:val="both"/>
        <w:rPr>
          <w:sz w:val="20"/>
          <w:szCs w:val="20"/>
        </w:rPr>
      </w:pPr>
      <w:r w:rsidRPr="00582732">
        <w:rPr>
          <w:sz w:val="20"/>
          <w:szCs w:val="20"/>
        </w:rPr>
        <w:t xml:space="preserve">Art. 52 Compete </w:t>
      </w:r>
      <w:r w:rsidRPr="00B85F53">
        <w:rPr>
          <w:b/>
          <w:sz w:val="20"/>
          <w:szCs w:val="20"/>
        </w:rPr>
        <w:t>privativamente</w:t>
      </w:r>
      <w:r w:rsidRPr="00582732">
        <w:rPr>
          <w:sz w:val="20"/>
          <w:szCs w:val="20"/>
        </w:rPr>
        <w:t xml:space="preserve"> ao Prefeito:</w:t>
      </w:r>
    </w:p>
    <w:p w:rsidR="00B82A4A" w:rsidRPr="00582732" w:rsidRDefault="00B82A4A" w:rsidP="00B82A4A">
      <w:pPr>
        <w:spacing w:after="0" w:line="240" w:lineRule="auto"/>
        <w:ind w:left="2268"/>
        <w:jc w:val="both"/>
        <w:rPr>
          <w:sz w:val="20"/>
          <w:szCs w:val="20"/>
        </w:rPr>
      </w:pPr>
      <w:r w:rsidRPr="00582732">
        <w:rPr>
          <w:sz w:val="20"/>
          <w:szCs w:val="20"/>
        </w:rPr>
        <w:t>[...]</w:t>
      </w:r>
    </w:p>
    <w:p w:rsidR="00B82A4A" w:rsidRPr="00582732" w:rsidRDefault="00B82A4A" w:rsidP="00B82A4A">
      <w:pPr>
        <w:spacing w:after="0" w:line="240" w:lineRule="auto"/>
        <w:ind w:left="2268"/>
        <w:jc w:val="both"/>
        <w:rPr>
          <w:sz w:val="20"/>
          <w:szCs w:val="20"/>
        </w:rPr>
      </w:pPr>
      <w:r w:rsidRPr="00582732">
        <w:rPr>
          <w:sz w:val="20"/>
          <w:szCs w:val="20"/>
        </w:rPr>
        <w:t xml:space="preserve">XXII - </w:t>
      </w:r>
      <w:r w:rsidRPr="00B85F53">
        <w:rPr>
          <w:b/>
          <w:sz w:val="20"/>
          <w:szCs w:val="20"/>
        </w:rPr>
        <w:t>administrar os bens</w:t>
      </w:r>
      <w:r w:rsidRPr="00582732">
        <w:rPr>
          <w:sz w:val="20"/>
          <w:szCs w:val="20"/>
        </w:rPr>
        <w:t xml:space="preserve"> e as rendas municipais, promover o lançamento, a fisc</w:t>
      </w:r>
      <w:r w:rsidRPr="00582732">
        <w:rPr>
          <w:sz w:val="20"/>
          <w:szCs w:val="20"/>
        </w:rPr>
        <w:t>a</w:t>
      </w:r>
      <w:r w:rsidRPr="00582732">
        <w:rPr>
          <w:sz w:val="20"/>
          <w:szCs w:val="20"/>
        </w:rPr>
        <w:t>lização e a arrecadação de tributos;</w:t>
      </w:r>
    </w:p>
    <w:p w:rsidR="00B82A4A" w:rsidRPr="00582732" w:rsidRDefault="00B82A4A" w:rsidP="00B82A4A">
      <w:pPr>
        <w:spacing w:after="0" w:line="240" w:lineRule="auto"/>
        <w:ind w:left="2268"/>
        <w:jc w:val="both"/>
        <w:rPr>
          <w:sz w:val="20"/>
          <w:szCs w:val="20"/>
        </w:rPr>
      </w:pPr>
    </w:p>
    <w:p w:rsidR="00B82A4A" w:rsidRPr="00B85F53" w:rsidRDefault="00B82A4A" w:rsidP="00B82A4A">
      <w:pPr>
        <w:spacing w:after="0" w:line="240" w:lineRule="auto"/>
        <w:ind w:left="2268"/>
        <w:jc w:val="both"/>
        <w:rPr>
          <w:sz w:val="20"/>
          <w:szCs w:val="20"/>
        </w:rPr>
      </w:pPr>
      <w:r w:rsidRPr="00582732">
        <w:rPr>
          <w:sz w:val="20"/>
          <w:szCs w:val="20"/>
        </w:rPr>
        <w:t xml:space="preserve">Art. 92 </w:t>
      </w:r>
      <w:r w:rsidRPr="00B85F53">
        <w:rPr>
          <w:b/>
          <w:sz w:val="20"/>
          <w:szCs w:val="20"/>
        </w:rPr>
        <w:t>Cabe ao Prefeito a administração dos bens municipais</w:t>
      </w:r>
      <w:r w:rsidRPr="00B85F53">
        <w:rPr>
          <w:sz w:val="20"/>
          <w:szCs w:val="20"/>
        </w:rPr>
        <w:t>, respeitada a co</w:t>
      </w:r>
      <w:r w:rsidRPr="00B85F53">
        <w:rPr>
          <w:sz w:val="20"/>
          <w:szCs w:val="20"/>
        </w:rPr>
        <w:t>m</w:t>
      </w:r>
      <w:r w:rsidRPr="00B85F53">
        <w:rPr>
          <w:sz w:val="20"/>
          <w:szCs w:val="20"/>
        </w:rPr>
        <w:t>petência da Câmara quanto àqueles utilizados em seus serviços.</w:t>
      </w:r>
    </w:p>
    <w:p w:rsidR="002454DE" w:rsidRDefault="002454DE" w:rsidP="00B82A4A">
      <w:pPr>
        <w:spacing w:after="0" w:line="360" w:lineRule="auto"/>
        <w:ind w:firstLine="1134"/>
        <w:jc w:val="both"/>
        <w:rPr>
          <w:b/>
          <w:sz w:val="24"/>
          <w:szCs w:val="24"/>
        </w:rPr>
      </w:pPr>
    </w:p>
    <w:p w:rsidR="002454DE" w:rsidRPr="002454DE" w:rsidRDefault="002454DE" w:rsidP="00B82A4A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Portanto, diante do objeto da proposição, consistente na autorização para a d</w:t>
      </w:r>
      <w:r>
        <w:rPr>
          <w:sz w:val="24"/>
          <w:szCs w:val="24"/>
        </w:rPr>
        <w:t>o</w:t>
      </w:r>
      <w:r>
        <w:rPr>
          <w:sz w:val="24"/>
          <w:szCs w:val="24"/>
        </w:rPr>
        <w:t>ação de imóvel com fins de investimento a uma empresa situada neste Município, adequada a iniciativa do processo legi</w:t>
      </w:r>
      <w:r>
        <w:rPr>
          <w:sz w:val="24"/>
          <w:szCs w:val="24"/>
        </w:rPr>
        <w:t>s</w:t>
      </w:r>
      <w:r>
        <w:rPr>
          <w:sz w:val="24"/>
          <w:szCs w:val="24"/>
        </w:rPr>
        <w:t>lativo, nos termos da disciplina constitucional pertinente.</w:t>
      </w:r>
    </w:p>
    <w:p w:rsidR="002454DE" w:rsidRDefault="002454DE" w:rsidP="00B82A4A">
      <w:pPr>
        <w:spacing w:after="0" w:line="360" w:lineRule="auto"/>
        <w:ind w:firstLine="1134"/>
        <w:jc w:val="both"/>
        <w:rPr>
          <w:b/>
          <w:sz w:val="24"/>
          <w:szCs w:val="24"/>
        </w:rPr>
      </w:pPr>
    </w:p>
    <w:p w:rsidR="00C6331E" w:rsidRDefault="00C6331E" w:rsidP="00B82A4A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3.2 Dos requisitos para a</w:t>
      </w:r>
      <w:r w:rsidR="002454DE">
        <w:rPr>
          <w:b/>
          <w:sz w:val="24"/>
          <w:szCs w:val="24"/>
        </w:rPr>
        <w:t xml:space="preserve"> doação </w:t>
      </w:r>
      <w:r>
        <w:rPr>
          <w:b/>
          <w:sz w:val="24"/>
          <w:szCs w:val="24"/>
        </w:rPr>
        <w:t>de imóveis da Administração Pública</w:t>
      </w:r>
    </w:p>
    <w:p w:rsidR="002454DE" w:rsidRDefault="00D66981" w:rsidP="002B79E4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Como justificativa para a </w:t>
      </w:r>
      <w:r w:rsidR="002454DE">
        <w:rPr>
          <w:sz w:val="24"/>
          <w:szCs w:val="24"/>
        </w:rPr>
        <w:t>doação</w:t>
      </w:r>
      <w:r>
        <w:rPr>
          <w:sz w:val="24"/>
          <w:szCs w:val="24"/>
        </w:rPr>
        <w:t xml:space="preserve">, o </w:t>
      </w:r>
      <w:r w:rsidR="001D566A">
        <w:rPr>
          <w:sz w:val="24"/>
          <w:szCs w:val="24"/>
        </w:rPr>
        <w:t xml:space="preserve">Poder </w:t>
      </w:r>
      <w:r>
        <w:rPr>
          <w:sz w:val="24"/>
          <w:szCs w:val="24"/>
        </w:rPr>
        <w:t>Executivo</w:t>
      </w:r>
      <w:r w:rsidR="002454DE">
        <w:rPr>
          <w:sz w:val="24"/>
          <w:szCs w:val="24"/>
        </w:rPr>
        <w:t xml:space="preserve"> expõe que a empresa a ser beneficiada é conhecida e consolidada no setor varejista do Município, atuando no setor de supermercados, com especialidade no comércio de gêneros alimentícios, tendo essa empr</w:t>
      </w:r>
      <w:r w:rsidR="002454DE">
        <w:rPr>
          <w:sz w:val="24"/>
          <w:szCs w:val="24"/>
        </w:rPr>
        <w:t>e</w:t>
      </w:r>
      <w:r w:rsidR="002454DE">
        <w:rPr>
          <w:sz w:val="24"/>
          <w:szCs w:val="24"/>
        </w:rPr>
        <w:t>sa, nos últimos seis anos, dobrado o seu número de lojas, com grande geração de empregos e ampliação da capacidade de arrecadação tributária pelo Poder Público. Consta, ainda, que haverá um retorno fiscal aos cofres públicos e a geração de, aproximadamente, oitenta e</w:t>
      </w:r>
      <w:r w:rsidR="002454DE">
        <w:rPr>
          <w:sz w:val="24"/>
          <w:szCs w:val="24"/>
        </w:rPr>
        <w:t>m</w:t>
      </w:r>
      <w:r w:rsidR="002454DE">
        <w:rPr>
          <w:sz w:val="24"/>
          <w:szCs w:val="24"/>
        </w:rPr>
        <w:t>pregos diretos já no ano de 2022, com projeção de cento e cinquenta empregos até 2025. Por fim, o Executivo salienta que o projeto foi aprovado pela Comissão Municipal de Avali</w:t>
      </w:r>
      <w:r w:rsidR="002454DE">
        <w:rPr>
          <w:sz w:val="24"/>
          <w:szCs w:val="24"/>
        </w:rPr>
        <w:t>a</w:t>
      </w:r>
      <w:r w:rsidR="002454DE">
        <w:rPr>
          <w:sz w:val="24"/>
          <w:szCs w:val="24"/>
        </w:rPr>
        <w:t>ção dos Projetos de Instalação da Zona Especial de Desenvolvimento Econômico e está de acordo com a Lei Municipal da Política de Incentivo ao Desenvolvimento Econômico e Social do Município de Guaíba (Lei Municipal nº 2.664/2010).</w:t>
      </w:r>
    </w:p>
    <w:p w:rsidR="002454DE" w:rsidRDefault="002454DE" w:rsidP="002B79E4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9440B9" w:rsidRDefault="009440B9" w:rsidP="002B79E4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art. 17 da Lei Federal nº 8.666/93 (Lei de Licitações) estabelece a possibilidade de que os bens da Administração Pública sejam alienados, trazendo requisitos para tanto: </w:t>
      </w:r>
      <w:r w:rsidRPr="00C6331E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existência de interesse público devidamente justificado; </w:t>
      </w:r>
      <w:r w:rsidRPr="00C6331E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avaliação</w:t>
      </w:r>
      <w:r w:rsidR="00C6331E">
        <w:rPr>
          <w:sz w:val="24"/>
          <w:szCs w:val="24"/>
        </w:rPr>
        <w:t xml:space="preserve"> prévia</w:t>
      </w:r>
      <w:r>
        <w:rPr>
          <w:sz w:val="24"/>
          <w:szCs w:val="24"/>
        </w:rPr>
        <w:t xml:space="preserve">; </w:t>
      </w:r>
      <w:r w:rsidRPr="00C6331E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quando im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veis, a prévia autorização legislativa; </w:t>
      </w:r>
      <w:r w:rsidRPr="00C6331E"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em regra, licitação na modalidade concorrência, 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tando esta dispensada, entre outras causas, na </w:t>
      </w:r>
      <w:r w:rsidR="00FC70FA">
        <w:rPr>
          <w:sz w:val="24"/>
          <w:szCs w:val="24"/>
        </w:rPr>
        <w:t>doação, permitida exclusivamente para outro órgão ou entidade da Administração Pública, de qualquer esfera do governo</w:t>
      </w:r>
      <w:r>
        <w:rPr>
          <w:sz w:val="24"/>
          <w:szCs w:val="24"/>
        </w:rPr>
        <w:t xml:space="preserve"> (art. 17, I, “</w:t>
      </w:r>
      <w:r w:rsidR="00FC70FA">
        <w:rPr>
          <w:sz w:val="24"/>
          <w:szCs w:val="24"/>
        </w:rPr>
        <w:t>b</w:t>
      </w:r>
      <w:r>
        <w:rPr>
          <w:sz w:val="24"/>
          <w:szCs w:val="24"/>
        </w:rPr>
        <w:t>”).</w:t>
      </w:r>
    </w:p>
    <w:p w:rsidR="009440B9" w:rsidRDefault="009440B9" w:rsidP="002B79E4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06505" w:rsidRDefault="009440B9" w:rsidP="002B79E4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que tange, especificamente, à hipótese de licitação dispensada pela </w:t>
      </w:r>
      <w:r w:rsidR="00FC70FA">
        <w:rPr>
          <w:sz w:val="24"/>
          <w:szCs w:val="24"/>
        </w:rPr>
        <w:t xml:space="preserve">doação de imóvel, </w:t>
      </w:r>
      <w:r w:rsidR="00C6331E">
        <w:rPr>
          <w:sz w:val="24"/>
          <w:szCs w:val="24"/>
        </w:rPr>
        <w:t>o Supremo Tribunal Federal</w:t>
      </w:r>
      <w:r w:rsidR="00F66100">
        <w:rPr>
          <w:sz w:val="24"/>
          <w:szCs w:val="24"/>
        </w:rPr>
        <w:t xml:space="preserve"> (STF)</w:t>
      </w:r>
      <w:r w:rsidR="00C6331E">
        <w:rPr>
          <w:sz w:val="24"/>
          <w:szCs w:val="24"/>
        </w:rPr>
        <w:t>, n</w:t>
      </w:r>
      <w:r>
        <w:rPr>
          <w:sz w:val="24"/>
          <w:szCs w:val="24"/>
        </w:rPr>
        <w:t xml:space="preserve">a Ação Direta de Inconstitucionalidade 927-3, </w:t>
      </w:r>
      <w:r w:rsidR="00C6331E">
        <w:rPr>
          <w:sz w:val="24"/>
          <w:szCs w:val="24"/>
        </w:rPr>
        <w:t>concedeu</w:t>
      </w:r>
      <w:r>
        <w:rPr>
          <w:sz w:val="24"/>
          <w:szCs w:val="24"/>
        </w:rPr>
        <w:t xml:space="preserve"> medida cautelar para suspender</w:t>
      </w:r>
      <w:r w:rsidR="00C6331E">
        <w:rPr>
          <w:sz w:val="24"/>
          <w:szCs w:val="24"/>
        </w:rPr>
        <w:t xml:space="preserve"> parcialmente</w:t>
      </w:r>
      <w:r>
        <w:rPr>
          <w:sz w:val="24"/>
          <w:szCs w:val="24"/>
        </w:rPr>
        <w:t>,</w:t>
      </w:r>
      <w:r w:rsidR="00F66100">
        <w:rPr>
          <w:sz w:val="24"/>
          <w:szCs w:val="24"/>
        </w:rPr>
        <w:t xml:space="preserve"> em relação</w:t>
      </w:r>
      <w:r>
        <w:rPr>
          <w:sz w:val="24"/>
          <w:szCs w:val="24"/>
        </w:rPr>
        <w:t xml:space="preserve"> aos Estados, ao Distr</w:t>
      </w:r>
      <w:r>
        <w:rPr>
          <w:sz w:val="24"/>
          <w:szCs w:val="24"/>
        </w:rPr>
        <w:t>i</w:t>
      </w:r>
      <w:r>
        <w:rPr>
          <w:sz w:val="24"/>
          <w:szCs w:val="24"/>
        </w:rPr>
        <w:t>to Federal e aos Municípios, os efeitos do art. 17, I, “</w:t>
      </w:r>
      <w:r w:rsidR="00F66100">
        <w:rPr>
          <w:sz w:val="24"/>
          <w:szCs w:val="24"/>
        </w:rPr>
        <w:t>b</w:t>
      </w:r>
      <w:r>
        <w:rPr>
          <w:sz w:val="24"/>
          <w:szCs w:val="24"/>
        </w:rPr>
        <w:t>”, po</w:t>
      </w:r>
      <w:r w:rsidR="00F66100">
        <w:rPr>
          <w:sz w:val="24"/>
          <w:szCs w:val="24"/>
        </w:rPr>
        <w:t>is</w:t>
      </w:r>
      <w:r>
        <w:rPr>
          <w:sz w:val="24"/>
          <w:szCs w:val="24"/>
        </w:rPr>
        <w:t xml:space="preserve"> a competência legislativa da União se limita a estabelecer normas gerais, </w:t>
      </w:r>
      <w:r w:rsidR="00806505">
        <w:rPr>
          <w:sz w:val="24"/>
          <w:szCs w:val="24"/>
        </w:rPr>
        <w:t>razão</w:t>
      </w:r>
      <w:r>
        <w:rPr>
          <w:sz w:val="24"/>
          <w:szCs w:val="24"/>
        </w:rPr>
        <w:t xml:space="preserve"> pel</w:t>
      </w:r>
      <w:r w:rsidR="00806505">
        <w:rPr>
          <w:sz w:val="24"/>
          <w:szCs w:val="24"/>
        </w:rPr>
        <w:t>a</w:t>
      </w:r>
      <w:r>
        <w:rPr>
          <w:sz w:val="24"/>
          <w:szCs w:val="24"/>
        </w:rPr>
        <w:t xml:space="preserve"> qual a </w:t>
      </w:r>
      <w:r w:rsidR="00F66100">
        <w:rPr>
          <w:sz w:val="24"/>
          <w:szCs w:val="24"/>
        </w:rPr>
        <w:t>condicionante</w:t>
      </w:r>
      <w:r>
        <w:rPr>
          <w:sz w:val="24"/>
          <w:szCs w:val="24"/>
        </w:rPr>
        <w:t xml:space="preserve"> “</w:t>
      </w:r>
      <w:r w:rsidR="00F66100">
        <w:rPr>
          <w:sz w:val="24"/>
          <w:szCs w:val="24"/>
        </w:rPr>
        <w:t>permitida exclusiv</w:t>
      </w:r>
      <w:r w:rsidR="00F66100">
        <w:rPr>
          <w:sz w:val="24"/>
          <w:szCs w:val="24"/>
        </w:rPr>
        <w:t>a</w:t>
      </w:r>
      <w:r w:rsidR="00F66100">
        <w:rPr>
          <w:sz w:val="24"/>
          <w:szCs w:val="24"/>
        </w:rPr>
        <w:t>mente para outro órgão ou entidade da Administração Pública, de qualquer esfera do g</w:t>
      </w:r>
      <w:r w:rsidR="00F66100">
        <w:rPr>
          <w:sz w:val="24"/>
          <w:szCs w:val="24"/>
        </w:rPr>
        <w:t>o</w:t>
      </w:r>
      <w:r w:rsidR="00F66100">
        <w:rPr>
          <w:sz w:val="24"/>
          <w:szCs w:val="24"/>
        </w:rPr>
        <w:t>verno”</w:t>
      </w:r>
      <w:r>
        <w:rPr>
          <w:sz w:val="24"/>
          <w:szCs w:val="24"/>
        </w:rPr>
        <w:t xml:space="preserve"> teria extrapolado os limites de competência legis</w:t>
      </w:r>
      <w:r w:rsidR="00806505">
        <w:rPr>
          <w:sz w:val="24"/>
          <w:szCs w:val="24"/>
        </w:rPr>
        <w:t xml:space="preserve">lativa federal. Assim, </w:t>
      </w:r>
      <w:r w:rsidR="00F5504D">
        <w:rPr>
          <w:sz w:val="24"/>
          <w:szCs w:val="24"/>
        </w:rPr>
        <w:t>por dec</w:t>
      </w:r>
      <w:r w:rsidR="00F5504D">
        <w:rPr>
          <w:sz w:val="24"/>
          <w:szCs w:val="24"/>
        </w:rPr>
        <w:t>i</w:t>
      </w:r>
      <w:r w:rsidR="00F5504D">
        <w:rPr>
          <w:sz w:val="24"/>
          <w:szCs w:val="24"/>
        </w:rPr>
        <w:t>são</w:t>
      </w:r>
      <w:r w:rsidR="00806505">
        <w:rPr>
          <w:sz w:val="24"/>
          <w:szCs w:val="24"/>
        </w:rPr>
        <w:t xml:space="preserve"> do STF, fic</w:t>
      </w:r>
      <w:r w:rsidR="00F5504D">
        <w:rPr>
          <w:sz w:val="24"/>
          <w:szCs w:val="24"/>
        </w:rPr>
        <w:t>ou</w:t>
      </w:r>
      <w:r w:rsidR="00806505">
        <w:rPr>
          <w:sz w:val="24"/>
          <w:szCs w:val="24"/>
        </w:rPr>
        <w:t xml:space="preserve"> suspenso o </w:t>
      </w:r>
      <w:r w:rsidR="00F66100">
        <w:rPr>
          <w:sz w:val="24"/>
          <w:szCs w:val="24"/>
        </w:rPr>
        <w:t xml:space="preserve">referido </w:t>
      </w:r>
      <w:r w:rsidR="00806505">
        <w:rPr>
          <w:sz w:val="24"/>
          <w:szCs w:val="24"/>
        </w:rPr>
        <w:t xml:space="preserve">trecho </w:t>
      </w:r>
      <w:r w:rsidR="00F66100">
        <w:rPr>
          <w:sz w:val="24"/>
          <w:szCs w:val="24"/>
        </w:rPr>
        <w:t xml:space="preserve">de restrição, </w:t>
      </w:r>
      <w:r w:rsidR="00806505">
        <w:rPr>
          <w:sz w:val="24"/>
          <w:szCs w:val="24"/>
        </w:rPr>
        <w:t xml:space="preserve">tornando-se possível, </w:t>
      </w:r>
      <w:r w:rsidR="00F66100">
        <w:rPr>
          <w:sz w:val="24"/>
          <w:szCs w:val="24"/>
        </w:rPr>
        <w:t>com isso, quai</w:t>
      </w:r>
      <w:r w:rsidR="00F66100">
        <w:rPr>
          <w:sz w:val="24"/>
          <w:szCs w:val="24"/>
        </w:rPr>
        <w:t>s</w:t>
      </w:r>
      <w:r w:rsidR="00F66100">
        <w:rPr>
          <w:sz w:val="24"/>
          <w:szCs w:val="24"/>
        </w:rPr>
        <w:t xml:space="preserve">quer doações, </w:t>
      </w:r>
      <w:r w:rsidR="00806505">
        <w:rPr>
          <w:sz w:val="24"/>
          <w:szCs w:val="24"/>
        </w:rPr>
        <w:t>desde que atendidos os demais requis</w:t>
      </w:r>
      <w:r w:rsidR="00806505">
        <w:rPr>
          <w:sz w:val="24"/>
          <w:szCs w:val="24"/>
        </w:rPr>
        <w:t>i</w:t>
      </w:r>
      <w:r w:rsidR="00806505">
        <w:rPr>
          <w:sz w:val="24"/>
          <w:szCs w:val="24"/>
        </w:rPr>
        <w:t>tos do art. 17.</w:t>
      </w:r>
    </w:p>
    <w:p w:rsidR="00806505" w:rsidRDefault="00806505" w:rsidP="002B79E4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06505" w:rsidRDefault="009E7692" w:rsidP="002B79E4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Nesse sentido</w:t>
      </w:r>
      <w:r w:rsidR="00806505">
        <w:rPr>
          <w:sz w:val="24"/>
          <w:szCs w:val="24"/>
        </w:rPr>
        <w:t xml:space="preserve">, cabe trazer, ainda, </w:t>
      </w:r>
      <w:r w:rsidR="00B509D9">
        <w:rPr>
          <w:sz w:val="24"/>
          <w:szCs w:val="24"/>
        </w:rPr>
        <w:t>a lição doutrinária de</w:t>
      </w:r>
      <w:r w:rsidR="00803B57">
        <w:rPr>
          <w:sz w:val="24"/>
          <w:szCs w:val="24"/>
        </w:rPr>
        <w:t xml:space="preserve"> Marçal Justen Filho, na obra “Comentários à </w:t>
      </w:r>
      <w:r w:rsidR="00EB6180">
        <w:rPr>
          <w:sz w:val="24"/>
          <w:szCs w:val="24"/>
        </w:rPr>
        <w:t>Lei de Licitações e Contratos Administrativos”, 16. ed., São Paulo: R</w:t>
      </w:r>
      <w:r w:rsidR="00EB6180">
        <w:rPr>
          <w:sz w:val="24"/>
          <w:szCs w:val="24"/>
        </w:rPr>
        <w:t>e</w:t>
      </w:r>
      <w:r w:rsidR="00EB6180">
        <w:rPr>
          <w:sz w:val="24"/>
          <w:szCs w:val="24"/>
        </w:rPr>
        <w:t>vista dos Trib</w:t>
      </w:r>
      <w:r w:rsidR="00EB6180">
        <w:rPr>
          <w:sz w:val="24"/>
          <w:szCs w:val="24"/>
        </w:rPr>
        <w:t>u</w:t>
      </w:r>
      <w:r w:rsidR="00EB6180">
        <w:rPr>
          <w:sz w:val="24"/>
          <w:szCs w:val="24"/>
        </w:rPr>
        <w:t>nais, 2014, p. 330:</w:t>
      </w:r>
    </w:p>
    <w:p w:rsidR="00EB6180" w:rsidRDefault="00EB6180" w:rsidP="002B79E4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EB6180" w:rsidRDefault="00EB6180" w:rsidP="00EB55E5">
      <w:pPr>
        <w:spacing w:after="0" w:line="240" w:lineRule="auto"/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>O STF</w:t>
      </w:r>
      <w:r w:rsidR="00D57EA6">
        <w:rPr>
          <w:sz w:val="20"/>
          <w:szCs w:val="20"/>
        </w:rPr>
        <w:t>, em decisão cautelar na ADI 927/RS, apreciou questionamento sobre a val</w:t>
      </w:r>
      <w:r w:rsidR="00D57EA6">
        <w:rPr>
          <w:sz w:val="20"/>
          <w:szCs w:val="20"/>
        </w:rPr>
        <w:t>i</w:t>
      </w:r>
      <w:r w:rsidR="00D57EA6">
        <w:rPr>
          <w:sz w:val="20"/>
          <w:szCs w:val="20"/>
        </w:rPr>
        <w:t>dade e extensão de inúmeros dispositivos da Lei 8.666/1993. De modo geral, todas as impugnações foram rejeitadas, com ressalva de algumas atinentes a dispositivos do art. 17. A questão acabou despertando inúmeras dúvidas, inclusive derivadas de alguma complexidade na redação do acórdão e dos diversos votos emitidos.</w:t>
      </w:r>
    </w:p>
    <w:p w:rsidR="00D57EA6" w:rsidRDefault="00D57EA6" w:rsidP="00EB55E5">
      <w:pPr>
        <w:spacing w:after="0" w:line="240" w:lineRule="auto"/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>[...]</w:t>
      </w:r>
    </w:p>
    <w:p w:rsidR="00D57EA6" w:rsidRDefault="00D57EA6" w:rsidP="00EB55E5">
      <w:pPr>
        <w:spacing w:after="0" w:line="240" w:lineRule="auto"/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 bem verdade que a leitura dos votos produz algumas dúvidas, tal como adiante referido. Conforme exposto no relatório do ilustre Ministro Carlos Velloso, </w:t>
      </w:r>
      <w:r w:rsidRPr="009C15D3">
        <w:rPr>
          <w:b/>
          <w:sz w:val="20"/>
          <w:szCs w:val="20"/>
        </w:rPr>
        <w:t>a inicial pleiteava o reconhecimento da inconstitucionalidade da interpretação que “dá por extensivas aos Estados e Municípios as regras do art. 17, I, b e c, II, a, b e § 1º, da mesma Lei 8.666/1993.”</w:t>
      </w:r>
      <w:r>
        <w:rPr>
          <w:sz w:val="20"/>
          <w:szCs w:val="20"/>
        </w:rPr>
        <w:t xml:space="preserve"> Quanto a isso, pleiteou-se na inicial a adoção de inte</w:t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pretação conforme a Constituição. </w:t>
      </w:r>
      <w:r w:rsidRPr="009C15D3">
        <w:rPr>
          <w:b/>
          <w:sz w:val="20"/>
          <w:szCs w:val="20"/>
        </w:rPr>
        <w:t>Portanto, em momento algum se deduziu ple</w:t>
      </w:r>
      <w:r w:rsidRPr="009C15D3">
        <w:rPr>
          <w:b/>
          <w:sz w:val="20"/>
          <w:szCs w:val="20"/>
        </w:rPr>
        <w:t>i</w:t>
      </w:r>
      <w:r w:rsidRPr="009C15D3">
        <w:rPr>
          <w:b/>
          <w:sz w:val="20"/>
          <w:szCs w:val="20"/>
        </w:rPr>
        <w:t>to de declaração de inconstitucionalidade dos referidos dispositivos. Dito de o</w:t>
      </w:r>
      <w:r w:rsidRPr="009C15D3">
        <w:rPr>
          <w:b/>
          <w:sz w:val="20"/>
          <w:szCs w:val="20"/>
        </w:rPr>
        <w:t>u</w:t>
      </w:r>
      <w:r w:rsidRPr="009C15D3">
        <w:rPr>
          <w:b/>
          <w:sz w:val="20"/>
          <w:szCs w:val="20"/>
        </w:rPr>
        <w:t>tro modo, não se controvertia sobre sua validade em face da própria União. Essa ressalva é d</w:t>
      </w:r>
      <w:r w:rsidR="009C15D3" w:rsidRPr="009C15D3">
        <w:rPr>
          <w:b/>
          <w:sz w:val="20"/>
          <w:szCs w:val="20"/>
        </w:rPr>
        <w:t>e</w:t>
      </w:r>
      <w:r w:rsidRPr="009C15D3">
        <w:rPr>
          <w:b/>
          <w:sz w:val="20"/>
          <w:szCs w:val="20"/>
        </w:rPr>
        <w:t xml:space="preserve"> grande relevância porque a redação do acórdão, ao sumariar o r</w:t>
      </w:r>
      <w:r w:rsidRPr="009C15D3">
        <w:rPr>
          <w:b/>
          <w:sz w:val="20"/>
          <w:szCs w:val="20"/>
        </w:rPr>
        <w:t>e</w:t>
      </w:r>
      <w:r w:rsidRPr="009C15D3">
        <w:rPr>
          <w:b/>
          <w:sz w:val="20"/>
          <w:szCs w:val="20"/>
        </w:rPr>
        <w:t>sultado, pode induzir à conclusão de que alguns dos dispositivos teriam tido sua aplicação suspensa de modo absoluto. Resultado dessa ordem não pode ser a</w:t>
      </w:r>
      <w:r w:rsidRPr="009C15D3">
        <w:rPr>
          <w:b/>
          <w:sz w:val="20"/>
          <w:szCs w:val="20"/>
        </w:rPr>
        <w:t>d</w:t>
      </w:r>
      <w:r w:rsidRPr="009C15D3">
        <w:rPr>
          <w:b/>
          <w:sz w:val="20"/>
          <w:szCs w:val="20"/>
        </w:rPr>
        <w:t>mitido, eis que configuraria julgamento extra petita. Mais ainda, o teor dos dive</w:t>
      </w:r>
      <w:r w:rsidRPr="009C15D3">
        <w:rPr>
          <w:b/>
          <w:sz w:val="20"/>
          <w:szCs w:val="20"/>
        </w:rPr>
        <w:t>r</w:t>
      </w:r>
      <w:r w:rsidRPr="009C15D3">
        <w:rPr>
          <w:b/>
          <w:sz w:val="20"/>
          <w:szCs w:val="20"/>
        </w:rPr>
        <w:t>sos votos induz claramente a conclusão diversa.</w:t>
      </w:r>
    </w:p>
    <w:p w:rsidR="00EB55E5" w:rsidRDefault="00EB55E5" w:rsidP="00EB55E5">
      <w:pPr>
        <w:spacing w:after="0" w:line="240" w:lineRule="auto"/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>[...]</w:t>
      </w:r>
    </w:p>
    <w:p w:rsidR="00EB55E5" w:rsidRPr="000E1F59" w:rsidRDefault="000E1F59" w:rsidP="000E1F59">
      <w:pPr>
        <w:spacing w:after="0" w:line="240" w:lineRule="auto"/>
        <w:ind w:left="2268"/>
        <w:jc w:val="both"/>
        <w:rPr>
          <w:b/>
          <w:sz w:val="20"/>
          <w:szCs w:val="20"/>
          <w:u w:val="single"/>
        </w:rPr>
      </w:pPr>
      <w:r w:rsidRPr="000E1F59">
        <w:rPr>
          <w:b/>
          <w:sz w:val="20"/>
          <w:szCs w:val="20"/>
          <w:u w:val="single"/>
        </w:rPr>
        <w:t xml:space="preserve">No tocante ao inc. I, alínea </w:t>
      </w:r>
      <w:r w:rsidRPr="000E1F59">
        <w:rPr>
          <w:b/>
          <w:i/>
          <w:sz w:val="20"/>
          <w:szCs w:val="20"/>
          <w:u w:val="single"/>
        </w:rPr>
        <w:t>b</w:t>
      </w:r>
      <w:r w:rsidRPr="000E1F59">
        <w:rPr>
          <w:b/>
          <w:sz w:val="20"/>
          <w:szCs w:val="20"/>
          <w:u w:val="single"/>
        </w:rPr>
        <w:t>, foi deferida a liminar para suspender a vigência, até o julgamento final, quanto a Estados, Distrito Federal e Municípios e respectivas administrações indiretas, da expressão “permitida exclusivamente para outro ó</w:t>
      </w:r>
      <w:r w:rsidRPr="000E1F59">
        <w:rPr>
          <w:b/>
          <w:sz w:val="20"/>
          <w:szCs w:val="20"/>
          <w:u w:val="single"/>
        </w:rPr>
        <w:t>r</w:t>
      </w:r>
      <w:r w:rsidRPr="000E1F59">
        <w:rPr>
          <w:b/>
          <w:sz w:val="20"/>
          <w:szCs w:val="20"/>
          <w:u w:val="single"/>
        </w:rPr>
        <w:t>gão ou entidade da Administração Pública, de qualquer esfera do governo”, co</w:t>
      </w:r>
      <w:r w:rsidRPr="000E1F59">
        <w:rPr>
          <w:b/>
          <w:sz w:val="20"/>
          <w:szCs w:val="20"/>
          <w:u w:val="single"/>
        </w:rPr>
        <w:t>n</w:t>
      </w:r>
      <w:r w:rsidRPr="000E1F59">
        <w:rPr>
          <w:b/>
          <w:sz w:val="20"/>
          <w:szCs w:val="20"/>
          <w:u w:val="single"/>
        </w:rPr>
        <w:t xml:space="preserve">tida no inc. I, alínea </w:t>
      </w:r>
      <w:r w:rsidRPr="000E1F59">
        <w:rPr>
          <w:b/>
          <w:i/>
          <w:sz w:val="20"/>
          <w:szCs w:val="20"/>
          <w:u w:val="single"/>
        </w:rPr>
        <w:t>b</w:t>
      </w:r>
      <w:r w:rsidRPr="000E1F59">
        <w:rPr>
          <w:b/>
          <w:sz w:val="20"/>
          <w:szCs w:val="20"/>
          <w:u w:val="single"/>
        </w:rPr>
        <w:t>, do art. 17. Não houve maiores divergências quanto a esse ponto, f</w:t>
      </w:r>
      <w:r w:rsidRPr="000E1F59">
        <w:rPr>
          <w:b/>
          <w:sz w:val="20"/>
          <w:szCs w:val="20"/>
          <w:u w:val="single"/>
        </w:rPr>
        <w:t>i</w:t>
      </w:r>
      <w:r w:rsidRPr="000E1F59">
        <w:rPr>
          <w:b/>
          <w:sz w:val="20"/>
          <w:szCs w:val="20"/>
          <w:u w:val="single"/>
        </w:rPr>
        <w:t>cando vencido apenas o Ministro Paulo Brossard.</w:t>
      </w:r>
    </w:p>
    <w:p w:rsidR="00EB55E5" w:rsidRPr="00F36BFC" w:rsidRDefault="00EB55E5" w:rsidP="00EB6180">
      <w:pPr>
        <w:spacing w:after="0" w:line="360" w:lineRule="auto"/>
        <w:ind w:left="2268"/>
        <w:jc w:val="both"/>
        <w:rPr>
          <w:sz w:val="24"/>
          <w:szCs w:val="24"/>
        </w:rPr>
      </w:pPr>
    </w:p>
    <w:p w:rsidR="000B3404" w:rsidRPr="000E1F59" w:rsidRDefault="00B509D9" w:rsidP="002B79E4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Suspensa, então, a aplicabilidade da</w:t>
      </w:r>
      <w:r w:rsidR="000E1F59">
        <w:rPr>
          <w:sz w:val="24"/>
          <w:szCs w:val="24"/>
        </w:rPr>
        <w:t xml:space="preserve"> restrição prevista na alínea “b</w:t>
      </w:r>
      <w:r>
        <w:rPr>
          <w:sz w:val="24"/>
          <w:szCs w:val="24"/>
        </w:rPr>
        <w:t>” do inciso I do art. 17 da Lei Federal nº 8.666/93 quanto aos Estados, Distrito Federal e Municípios, os r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quisitos básicos para toda e qualquer </w:t>
      </w:r>
      <w:r w:rsidR="000E1F59">
        <w:rPr>
          <w:b/>
          <w:sz w:val="24"/>
          <w:szCs w:val="24"/>
        </w:rPr>
        <w:t>doação</w:t>
      </w:r>
      <w:r w:rsidRPr="00F5504D">
        <w:rPr>
          <w:b/>
          <w:sz w:val="24"/>
          <w:szCs w:val="24"/>
        </w:rPr>
        <w:t xml:space="preserve"> de imóveis</w:t>
      </w:r>
      <w:r>
        <w:rPr>
          <w:sz w:val="24"/>
          <w:szCs w:val="24"/>
        </w:rPr>
        <w:t xml:space="preserve"> da Administração Pública são: (i) </w:t>
      </w:r>
      <w:r w:rsidRPr="00B509D9">
        <w:rPr>
          <w:b/>
          <w:sz w:val="24"/>
          <w:szCs w:val="24"/>
        </w:rPr>
        <w:t>interesse público devidamente justificado;</w:t>
      </w:r>
      <w:r>
        <w:rPr>
          <w:sz w:val="24"/>
          <w:szCs w:val="24"/>
        </w:rPr>
        <w:t xml:space="preserve"> (ii) </w:t>
      </w:r>
      <w:r w:rsidRPr="00B509D9">
        <w:rPr>
          <w:b/>
          <w:sz w:val="24"/>
          <w:szCs w:val="24"/>
        </w:rPr>
        <w:t>autorização legislativa prévia;</w:t>
      </w:r>
      <w:r>
        <w:rPr>
          <w:sz w:val="24"/>
          <w:szCs w:val="24"/>
        </w:rPr>
        <w:t xml:space="preserve"> (iii) </w:t>
      </w:r>
      <w:r w:rsidRPr="00B509D9">
        <w:rPr>
          <w:b/>
          <w:sz w:val="24"/>
          <w:szCs w:val="24"/>
        </w:rPr>
        <w:t>avali</w:t>
      </w:r>
      <w:r w:rsidRPr="00B509D9">
        <w:rPr>
          <w:b/>
          <w:sz w:val="24"/>
          <w:szCs w:val="24"/>
        </w:rPr>
        <w:t>a</w:t>
      </w:r>
      <w:r w:rsidRPr="00B509D9">
        <w:rPr>
          <w:b/>
          <w:sz w:val="24"/>
          <w:szCs w:val="24"/>
        </w:rPr>
        <w:t xml:space="preserve">ção dos bens a serem </w:t>
      </w:r>
      <w:r w:rsidR="000E1F59">
        <w:rPr>
          <w:b/>
          <w:sz w:val="24"/>
          <w:szCs w:val="24"/>
        </w:rPr>
        <w:t>doados.</w:t>
      </w:r>
    </w:p>
    <w:p w:rsidR="000B3404" w:rsidRDefault="000B3404" w:rsidP="002B79E4">
      <w:pPr>
        <w:spacing w:after="0" w:line="360" w:lineRule="auto"/>
        <w:ind w:firstLine="1134"/>
        <w:jc w:val="both"/>
        <w:rPr>
          <w:b/>
          <w:sz w:val="24"/>
          <w:szCs w:val="24"/>
        </w:rPr>
      </w:pPr>
    </w:p>
    <w:p w:rsidR="000E1F59" w:rsidRDefault="00B509D9" w:rsidP="002B79E4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Soma-se a esses requisitos</w:t>
      </w:r>
      <w:r w:rsidR="000E1F59">
        <w:rPr>
          <w:sz w:val="24"/>
          <w:szCs w:val="24"/>
        </w:rPr>
        <w:t>, por força da Lei Municipal nº 2.664/2010, o conjunto de documentos e demonstrações exigidas como provas do interesse público e da vantajos</w:t>
      </w:r>
      <w:r w:rsidR="000E1F59">
        <w:rPr>
          <w:sz w:val="24"/>
          <w:szCs w:val="24"/>
        </w:rPr>
        <w:t>i</w:t>
      </w:r>
      <w:r w:rsidR="000E1F59">
        <w:rPr>
          <w:sz w:val="24"/>
          <w:szCs w:val="24"/>
        </w:rPr>
        <w:t>dade da alienação do patrimônio público, cuja verificação compete às comissões permane</w:t>
      </w:r>
      <w:r w:rsidR="000E1F59">
        <w:rPr>
          <w:sz w:val="24"/>
          <w:szCs w:val="24"/>
        </w:rPr>
        <w:t>n</w:t>
      </w:r>
      <w:r w:rsidR="000E1F59">
        <w:rPr>
          <w:sz w:val="24"/>
          <w:szCs w:val="24"/>
        </w:rPr>
        <w:t>tes e que, se for o caso, pode ser complementada no curso do processo legislativo.</w:t>
      </w:r>
    </w:p>
    <w:p w:rsidR="000E1F59" w:rsidRDefault="000E1F59" w:rsidP="002B79E4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9F2C64" w:rsidRDefault="009C15D3" w:rsidP="003D5F32">
      <w:pPr>
        <w:spacing w:after="0" w:line="360" w:lineRule="auto"/>
        <w:ind w:firstLine="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Quanto aos</w:t>
      </w:r>
      <w:r w:rsidR="000E1F59">
        <w:rPr>
          <w:sz w:val="24"/>
          <w:szCs w:val="24"/>
        </w:rPr>
        <w:t xml:space="preserve"> referidos requisitos</w:t>
      </w:r>
      <w:r>
        <w:rPr>
          <w:sz w:val="24"/>
          <w:szCs w:val="24"/>
        </w:rPr>
        <w:t xml:space="preserve">, </w:t>
      </w:r>
      <w:r w:rsidR="000E1F59">
        <w:rPr>
          <w:sz w:val="24"/>
          <w:szCs w:val="24"/>
        </w:rPr>
        <w:t>nota</w:t>
      </w:r>
      <w:r w:rsidR="00F5504D">
        <w:rPr>
          <w:sz w:val="24"/>
          <w:szCs w:val="24"/>
        </w:rPr>
        <w:t xml:space="preserve">-se que o </w:t>
      </w:r>
      <w:r>
        <w:rPr>
          <w:sz w:val="24"/>
          <w:szCs w:val="24"/>
        </w:rPr>
        <w:t xml:space="preserve">Projeto de Lei nº </w:t>
      </w:r>
      <w:r w:rsidR="000E1F59">
        <w:rPr>
          <w:sz w:val="24"/>
          <w:szCs w:val="24"/>
        </w:rPr>
        <w:t>051/2021</w:t>
      </w:r>
      <w:r>
        <w:rPr>
          <w:sz w:val="24"/>
          <w:szCs w:val="24"/>
        </w:rPr>
        <w:t xml:space="preserve"> co</w:t>
      </w:r>
      <w:r>
        <w:rPr>
          <w:sz w:val="24"/>
          <w:szCs w:val="24"/>
        </w:rPr>
        <w:t>n</w:t>
      </w:r>
      <w:r>
        <w:rPr>
          <w:sz w:val="24"/>
          <w:szCs w:val="24"/>
        </w:rPr>
        <w:t>ta com avaliação d</w:t>
      </w:r>
      <w:r w:rsidR="003D5F32">
        <w:rPr>
          <w:sz w:val="24"/>
          <w:szCs w:val="24"/>
        </w:rPr>
        <w:t>a área a ser doada (fls. 44-45 do primeiro anexo)</w:t>
      </w:r>
      <w:r>
        <w:rPr>
          <w:sz w:val="24"/>
          <w:szCs w:val="24"/>
        </w:rPr>
        <w:t>,</w:t>
      </w:r>
      <w:r w:rsidR="003D5F32">
        <w:rPr>
          <w:sz w:val="24"/>
          <w:szCs w:val="24"/>
        </w:rPr>
        <w:t xml:space="preserve"> além de carta de intenção e projeto contendo justificativas e ampla documentação a respeito da regularidade jurídica, fiscal e trabalhista da empresa. Constam, ainda, esclarecimentos sobre os investimentos que serão realizados e informações sobre a capacidade e idoneidade financeira da empresa. Há, ademais, matrícula do imóvel de propriedade do Município de Guaíba e a ata de reunião em que a Comissão Municipal de Avaliação dos Projetos de Instalação da Zona Especial de D</w:t>
      </w:r>
      <w:r w:rsidR="003D5F32">
        <w:rPr>
          <w:sz w:val="24"/>
          <w:szCs w:val="24"/>
        </w:rPr>
        <w:t>e</w:t>
      </w:r>
      <w:r w:rsidR="003D5F32">
        <w:rPr>
          <w:sz w:val="24"/>
          <w:szCs w:val="24"/>
        </w:rPr>
        <w:t>senvolvimento Econômico deliberou pela aprovação do projeto apresentado pela empresa.</w:t>
      </w:r>
    </w:p>
    <w:p w:rsidR="000E1F59" w:rsidRDefault="000E1F59" w:rsidP="002B79E4">
      <w:pPr>
        <w:spacing w:after="0" w:line="360" w:lineRule="auto"/>
        <w:ind w:firstLine="1134"/>
        <w:jc w:val="both"/>
        <w:rPr>
          <w:sz w:val="24"/>
          <w:szCs w:val="24"/>
          <w:u w:val="single"/>
        </w:rPr>
      </w:pPr>
    </w:p>
    <w:p w:rsidR="009F2C64" w:rsidRDefault="009F2C64" w:rsidP="00F10B2D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Quanto à existência de interesse público devidamente justificado, </w:t>
      </w:r>
      <w:r w:rsidR="00D6332F">
        <w:rPr>
          <w:sz w:val="24"/>
          <w:szCs w:val="24"/>
        </w:rPr>
        <w:t>verifica</w:t>
      </w:r>
      <w:r>
        <w:rPr>
          <w:sz w:val="24"/>
          <w:szCs w:val="24"/>
        </w:rPr>
        <w:t xml:space="preserve">-se que a exposição de motivos </w:t>
      </w:r>
      <w:r w:rsidR="00D6332F">
        <w:rPr>
          <w:sz w:val="24"/>
          <w:szCs w:val="24"/>
        </w:rPr>
        <w:t>traz</w:t>
      </w:r>
      <w:r>
        <w:rPr>
          <w:sz w:val="24"/>
          <w:szCs w:val="24"/>
        </w:rPr>
        <w:t xml:space="preserve"> uma justificativa para a medida pleiteada, corroborada doc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mentalmente, cabendo aos vereadores julgar se, </w:t>
      </w:r>
      <w:r w:rsidR="00F10B2D">
        <w:rPr>
          <w:sz w:val="24"/>
          <w:szCs w:val="24"/>
        </w:rPr>
        <w:t>de acordo com os elementos apresent</w:t>
      </w:r>
      <w:r w:rsidR="00F10B2D">
        <w:rPr>
          <w:sz w:val="24"/>
          <w:szCs w:val="24"/>
        </w:rPr>
        <w:t>a</w:t>
      </w:r>
      <w:r w:rsidR="00F10B2D">
        <w:rPr>
          <w:sz w:val="24"/>
          <w:szCs w:val="24"/>
        </w:rPr>
        <w:t xml:space="preserve">dos, há ou não interesse público na pretensa </w:t>
      </w:r>
      <w:r w:rsidR="00F80D95">
        <w:rPr>
          <w:sz w:val="24"/>
          <w:szCs w:val="24"/>
        </w:rPr>
        <w:t>doação</w:t>
      </w:r>
      <w:r w:rsidR="00F10B2D">
        <w:rPr>
          <w:sz w:val="24"/>
          <w:szCs w:val="24"/>
        </w:rPr>
        <w:t>.</w:t>
      </w:r>
      <w:r>
        <w:rPr>
          <w:sz w:val="24"/>
          <w:szCs w:val="24"/>
        </w:rPr>
        <w:t xml:space="preserve"> Por tratar-se, evidentemente, de m</w:t>
      </w:r>
      <w:r>
        <w:rPr>
          <w:sz w:val="24"/>
          <w:szCs w:val="24"/>
        </w:rPr>
        <w:t>a</w:t>
      </w:r>
      <w:r>
        <w:rPr>
          <w:sz w:val="24"/>
          <w:szCs w:val="24"/>
        </w:rPr>
        <w:t>téria de mérito, compete às comissões permanentes da Câmara Municipal, se julgarem necess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rio, solicitar </w:t>
      </w:r>
      <w:r w:rsidR="00D6332F">
        <w:rPr>
          <w:sz w:val="24"/>
          <w:szCs w:val="24"/>
        </w:rPr>
        <w:t xml:space="preserve">a </w:t>
      </w:r>
      <w:r>
        <w:rPr>
          <w:sz w:val="24"/>
          <w:szCs w:val="24"/>
        </w:rPr>
        <w:t>complementação de informações e documentos ao Executivo M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nicipal, a fim de </w:t>
      </w:r>
      <w:r w:rsidR="00F10530">
        <w:rPr>
          <w:sz w:val="24"/>
          <w:szCs w:val="24"/>
        </w:rPr>
        <w:t xml:space="preserve">subsidiar o juízo sobre a existência de interesse público na </w:t>
      </w:r>
      <w:r w:rsidR="00F80D95">
        <w:rPr>
          <w:sz w:val="24"/>
          <w:szCs w:val="24"/>
        </w:rPr>
        <w:t>transferência</w:t>
      </w:r>
      <w:r w:rsidR="00F10530">
        <w:rPr>
          <w:sz w:val="24"/>
          <w:szCs w:val="24"/>
        </w:rPr>
        <w:t>.</w:t>
      </w:r>
    </w:p>
    <w:p w:rsidR="00B13A32" w:rsidRDefault="00B13A32" w:rsidP="002B79E4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F85172" w:rsidRDefault="00F85172" w:rsidP="00F851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CONCLUSÃO</w:t>
      </w:r>
    </w:p>
    <w:p w:rsidR="00616255" w:rsidRPr="00616255" w:rsidRDefault="00616255" w:rsidP="00616255">
      <w:pPr>
        <w:pStyle w:val="PargrafodaLista"/>
        <w:spacing w:after="0" w:line="360" w:lineRule="auto"/>
        <w:ind w:left="1494"/>
        <w:jc w:val="both"/>
        <w:rPr>
          <w:b/>
          <w:sz w:val="24"/>
          <w:szCs w:val="24"/>
        </w:rPr>
      </w:pPr>
    </w:p>
    <w:p w:rsidR="001F6DB4" w:rsidRDefault="001F6DB4" w:rsidP="001F6DB4">
      <w:pPr>
        <w:spacing w:after="0" w:line="360" w:lineRule="auto"/>
        <w:ind w:firstLine="1134"/>
        <w:jc w:val="both"/>
        <w:rPr>
          <w:sz w:val="24"/>
          <w:szCs w:val="24"/>
        </w:rPr>
      </w:pPr>
      <w:r w:rsidRPr="00E501C1">
        <w:rPr>
          <w:sz w:val="24"/>
          <w:szCs w:val="24"/>
        </w:rPr>
        <w:t xml:space="preserve">Diante do exposto, </w:t>
      </w:r>
      <w:r>
        <w:rPr>
          <w:sz w:val="24"/>
          <w:szCs w:val="24"/>
        </w:rPr>
        <w:t xml:space="preserve">respeitada a </w:t>
      </w:r>
      <w:r w:rsidRPr="00C1161F">
        <w:rPr>
          <w:b/>
          <w:sz w:val="24"/>
          <w:szCs w:val="24"/>
        </w:rPr>
        <w:t>natureza opinativa</w:t>
      </w:r>
      <w:r>
        <w:rPr>
          <w:sz w:val="24"/>
          <w:szCs w:val="24"/>
        </w:rPr>
        <w:t xml:space="preserve"> do parecer jurídico, que </w:t>
      </w:r>
      <w:r w:rsidRPr="00C1161F">
        <w:rPr>
          <w:b/>
          <w:sz w:val="24"/>
          <w:szCs w:val="24"/>
        </w:rPr>
        <w:t>não vincula</w:t>
      </w:r>
      <w:r>
        <w:rPr>
          <w:sz w:val="24"/>
          <w:szCs w:val="24"/>
        </w:rPr>
        <w:t xml:space="preserve">, por si só, a manifestação das comissões permanentes e a convicção dos membros desta Câmara, </w:t>
      </w:r>
      <w:r w:rsidRPr="00DE4606">
        <w:rPr>
          <w:sz w:val="24"/>
          <w:szCs w:val="24"/>
        </w:rPr>
        <w:t>e assegurada a soberania do Plenário,</w:t>
      </w:r>
      <w:r>
        <w:rPr>
          <w:sz w:val="24"/>
          <w:szCs w:val="24"/>
        </w:rPr>
        <w:t xml:space="preserve"> </w:t>
      </w:r>
      <w:r w:rsidRPr="00E501C1">
        <w:rPr>
          <w:sz w:val="24"/>
          <w:szCs w:val="24"/>
        </w:rPr>
        <w:t>a Procuradoria</w:t>
      </w:r>
      <w:r>
        <w:rPr>
          <w:sz w:val="24"/>
          <w:szCs w:val="24"/>
        </w:rPr>
        <w:t xml:space="preserve"> Jurídica, em conclusão, </w:t>
      </w:r>
      <w:r w:rsidR="00DE4606" w:rsidRPr="00E501C1">
        <w:rPr>
          <w:b/>
          <w:sz w:val="24"/>
          <w:szCs w:val="24"/>
        </w:rPr>
        <w:t xml:space="preserve">opina </w:t>
      </w:r>
      <w:r w:rsidR="00DE4606" w:rsidRPr="00E501C1">
        <w:rPr>
          <w:sz w:val="24"/>
          <w:szCs w:val="24"/>
        </w:rPr>
        <w:t>pela legalidade e regular tramitação d</w:t>
      </w:r>
      <w:r w:rsidR="00DE4606">
        <w:rPr>
          <w:sz w:val="24"/>
          <w:szCs w:val="24"/>
        </w:rPr>
        <w:t>o Projeto de Lei do Executivo nº 051/2021</w:t>
      </w:r>
      <w:r w:rsidR="00DE4606" w:rsidRPr="00E501C1">
        <w:rPr>
          <w:sz w:val="24"/>
          <w:szCs w:val="24"/>
        </w:rPr>
        <w:t>,</w:t>
      </w:r>
      <w:r w:rsidR="00DE4606">
        <w:rPr>
          <w:sz w:val="24"/>
          <w:szCs w:val="24"/>
        </w:rPr>
        <w:t xml:space="preserve"> por inexistirem vícios de natureza material ou formal que impeçam sua deliberação em Plen</w:t>
      </w:r>
      <w:r w:rsidR="00DE4606">
        <w:rPr>
          <w:sz w:val="24"/>
          <w:szCs w:val="24"/>
        </w:rPr>
        <w:t>á</w:t>
      </w:r>
      <w:r w:rsidR="00DE4606">
        <w:rPr>
          <w:sz w:val="24"/>
          <w:szCs w:val="24"/>
        </w:rPr>
        <w:t>rio.</w:t>
      </w:r>
    </w:p>
    <w:p w:rsidR="00347818" w:rsidRDefault="00347818" w:rsidP="00347818">
      <w:pPr>
        <w:spacing w:after="0" w:line="360" w:lineRule="auto"/>
        <w:jc w:val="both"/>
        <w:rPr>
          <w:sz w:val="24"/>
          <w:szCs w:val="24"/>
        </w:rPr>
        <w:sectPr w:rsidR="00347818" w:rsidSect="00E30484">
          <w:headerReference w:type="default" r:id="rId8"/>
          <w:pgSz w:w="11906" w:h="16838"/>
          <w:pgMar w:top="2127" w:right="1134" w:bottom="1134" w:left="1701" w:header="709" w:footer="709" w:gutter="0"/>
          <w:cols w:space="708"/>
          <w:docGrid w:linePitch="360"/>
        </w:sectPr>
      </w:pPr>
    </w:p>
    <w:p w:rsidR="00F85172" w:rsidRPr="00F10B2D" w:rsidRDefault="00F85172" w:rsidP="00F85172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C82E05" w:rsidRDefault="000714D3" w:rsidP="00347818">
      <w:pPr>
        <w:spacing w:after="0" w:line="360" w:lineRule="auto"/>
        <w:jc w:val="center"/>
        <w:rPr>
          <w:sz w:val="24"/>
          <w:szCs w:val="24"/>
        </w:rPr>
      </w:pPr>
      <w:r w:rsidRPr="00F10B2D">
        <w:rPr>
          <w:sz w:val="24"/>
          <w:szCs w:val="24"/>
        </w:rPr>
        <w:t>Guaíba</w:t>
      </w:r>
      <w:r w:rsidR="00F10B2D" w:rsidRPr="00F10B2D">
        <w:rPr>
          <w:sz w:val="24"/>
          <w:szCs w:val="24"/>
        </w:rPr>
        <w:t>,</w:t>
      </w:r>
      <w:r w:rsidR="00347818">
        <w:rPr>
          <w:sz w:val="24"/>
          <w:szCs w:val="24"/>
        </w:rPr>
        <w:t xml:space="preserve"> </w:t>
      </w:r>
      <w:r w:rsidR="00DE4606">
        <w:rPr>
          <w:sz w:val="24"/>
          <w:szCs w:val="24"/>
        </w:rPr>
        <w:t>18 de novembro de 2021.</w:t>
      </w:r>
    </w:p>
    <w:p w:rsidR="00347818" w:rsidRDefault="00347818" w:rsidP="00347818">
      <w:pPr>
        <w:spacing w:after="0" w:line="360" w:lineRule="auto"/>
        <w:jc w:val="center"/>
        <w:rPr>
          <w:sz w:val="24"/>
          <w:szCs w:val="24"/>
        </w:rPr>
      </w:pPr>
    </w:p>
    <w:p w:rsidR="00347818" w:rsidRDefault="00347818" w:rsidP="0034781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GUSTAVO DOBLER</w:t>
      </w:r>
    </w:p>
    <w:p w:rsidR="00347818" w:rsidRDefault="00347818" w:rsidP="0034781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Procurador</w:t>
      </w:r>
    </w:p>
    <w:p w:rsidR="00347818" w:rsidRPr="00347818" w:rsidRDefault="00347818" w:rsidP="00347818">
      <w:pPr>
        <w:spacing w:after="0" w:line="360" w:lineRule="auto"/>
        <w:jc w:val="center"/>
        <w:rPr>
          <w:rFonts w:eastAsia="MS Mincho" w:cs="Times New Roman"/>
          <w:bCs/>
          <w:kern w:val="36"/>
          <w:sz w:val="24"/>
          <w:szCs w:val="24"/>
          <w:lang w:eastAsia="pt-BR"/>
        </w:rPr>
      </w:pPr>
      <w:r>
        <w:rPr>
          <w:sz w:val="24"/>
          <w:szCs w:val="24"/>
        </w:rPr>
        <w:t>OAB/RS nº 110.114B</w:t>
      </w:r>
    </w:p>
    <w:sectPr w:rsidR="00347818" w:rsidRPr="00347818" w:rsidSect="0021729F">
      <w:type w:val="continuous"/>
      <w:pgSz w:w="11906" w:h="16838"/>
      <w:pgMar w:top="212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F2" w:rsidRDefault="00161EF2" w:rsidP="00B365A3">
      <w:pPr>
        <w:spacing w:after="0" w:line="240" w:lineRule="auto"/>
      </w:pPr>
      <w:r>
        <w:separator/>
      </w:r>
    </w:p>
  </w:endnote>
  <w:endnote w:type="continuationSeparator" w:id="1">
    <w:p w:rsidR="00161EF2" w:rsidRDefault="00161EF2" w:rsidP="00B3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F2" w:rsidRDefault="00161EF2" w:rsidP="00B365A3">
      <w:pPr>
        <w:spacing w:after="0" w:line="240" w:lineRule="auto"/>
      </w:pPr>
      <w:r>
        <w:separator/>
      </w:r>
    </w:p>
  </w:footnote>
  <w:footnote w:type="continuationSeparator" w:id="1">
    <w:p w:rsidR="00161EF2" w:rsidRDefault="00161EF2" w:rsidP="00B3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B4" w:rsidRDefault="001F6DB4" w:rsidP="00B365A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48150" cy="781050"/>
          <wp:effectExtent l="19050" t="0" r="0" b="0"/>
          <wp:docPr id="3" name="Imagem 3" descr="C:\Users\Juridico\AppData\Local\Microsoft\Windows\INetCache\Content.Word\Brasã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idico\AppData\Local\Microsoft\Windows\INetCache\Content.Word\Brasã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3C8B"/>
    <w:multiLevelType w:val="multilevel"/>
    <w:tmpl w:val="15329DF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5A3"/>
    <w:rsid w:val="00000AD0"/>
    <w:rsid w:val="000035FD"/>
    <w:rsid w:val="00005055"/>
    <w:rsid w:val="00005B45"/>
    <w:rsid w:val="00013309"/>
    <w:rsid w:val="00014BFC"/>
    <w:rsid w:val="00032713"/>
    <w:rsid w:val="00036BC1"/>
    <w:rsid w:val="00040AAA"/>
    <w:rsid w:val="00043FB5"/>
    <w:rsid w:val="00062A28"/>
    <w:rsid w:val="000668D2"/>
    <w:rsid w:val="000714D3"/>
    <w:rsid w:val="0008126C"/>
    <w:rsid w:val="000837BA"/>
    <w:rsid w:val="000A4795"/>
    <w:rsid w:val="000B3404"/>
    <w:rsid w:val="000C5C99"/>
    <w:rsid w:val="000C7A5B"/>
    <w:rsid w:val="000D016A"/>
    <w:rsid w:val="000E1F59"/>
    <w:rsid w:val="000E4D31"/>
    <w:rsid w:val="000F3286"/>
    <w:rsid w:val="000F5B53"/>
    <w:rsid w:val="00110DB4"/>
    <w:rsid w:val="001144C0"/>
    <w:rsid w:val="001172A2"/>
    <w:rsid w:val="001312A3"/>
    <w:rsid w:val="0013203C"/>
    <w:rsid w:val="00132316"/>
    <w:rsid w:val="00141257"/>
    <w:rsid w:val="00156D0D"/>
    <w:rsid w:val="001610A1"/>
    <w:rsid w:val="00161EF2"/>
    <w:rsid w:val="0017244B"/>
    <w:rsid w:val="001737C2"/>
    <w:rsid w:val="00177038"/>
    <w:rsid w:val="00180822"/>
    <w:rsid w:val="00180AE5"/>
    <w:rsid w:val="00186BEE"/>
    <w:rsid w:val="001A28D0"/>
    <w:rsid w:val="001A4125"/>
    <w:rsid w:val="001A562B"/>
    <w:rsid w:val="001A64D7"/>
    <w:rsid w:val="001B239E"/>
    <w:rsid w:val="001B3264"/>
    <w:rsid w:val="001C5B94"/>
    <w:rsid w:val="001D52F6"/>
    <w:rsid w:val="001D566A"/>
    <w:rsid w:val="001F05E5"/>
    <w:rsid w:val="001F4744"/>
    <w:rsid w:val="001F5FE9"/>
    <w:rsid w:val="001F6BDB"/>
    <w:rsid w:val="001F6DB4"/>
    <w:rsid w:val="00214A1F"/>
    <w:rsid w:val="00215A2F"/>
    <w:rsid w:val="0021729F"/>
    <w:rsid w:val="00234E17"/>
    <w:rsid w:val="002454DE"/>
    <w:rsid w:val="0025129E"/>
    <w:rsid w:val="002512D7"/>
    <w:rsid w:val="00255CEC"/>
    <w:rsid w:val="00263556"/>
    <w:rsid w:val="0026431F"/>
    <w:rsid w:val="00265D3C"/>
    <w:rsid w:val="002727CE"/>
    <w:rsid w:val="002767A9"/>
    <w:rsid w:val="002965A3"/>
    <w:rsid w:val="002B1AB3"/>
    <w:rsid w:val="002B79E4"/>
    <w:rsid w:val="002C060A"/>
    <w:rsid w:val="002C26A6"/>
    <w:rsid w:val="002D2229"/>
    <w:rsid w:val="002F03E0"/>
    <w:rsid w:val="003209B5"/>
    <w:rsid w:val="00332BE1"/>
    <w:rsid w:val="00335080"/>
    <w:rsid w:val="003374A8"/>
    <w:rsid w:val="003376B6"/>
    <w:rsid w:val="00341B9C"/>
    <w:rsid w:val="003462C4"/>
    <w:rsid w:val="00347818"/>
    <w:rsid w:val="003617F4"/>
    <w:rsid w:val="00364A88"/>
    <w:rsid w:val="0037630E"/>
    <w:rsid w:val="003843C9"/>
    <w:rsid w:val="00392D72"/>
    <w:rsid w:val="00394811"/>
    <w:rsid w:val="003B0EED"/>
    <w:rsid w:val="003D5F32"/>
    <w:rsid w:val="003E13EE"/>
    <w:rsid w:val="003E2A52"/>
    <w:rsid w:val="003E6A17"/>
    <w:rsid w:val="004040D1"/>
    <w:rsid w:val="00406432"/>
    <w:rsid w:val="004138F4"/>
    <w:rsid w:val="0041616C"/>
    <w:rsid w:val="00422CA6"/>
    <w:rsid w:val="00437EF5"/>
    <w:rsid w:val="00440557"/>
    <w:rsid w:val="00441350"/>
    <w:rsid w:val="00445BCB"/>
    <w:rsid w:val="0044768A"/>
    <w:rsid w:val="00460A42"/>
    <w:rsid w:val="00463197"/>
    <w:rsid w:val="0047414C"/>
    <w:rsid w:val="00476DB0"/>
    <w:rsid w:val="004A0EE8"/>
    <w:rsid w:val="004A746A"/>
    <w:rsid w:val="004C05FD"/>
    <w:rsid w:val="004C6D58"/>
    <w:rsid w:val="004E2B83"/>
    <w:rsid w:val="004E789C"/>
    <w:rsid w:val="00506648"/>
    <w:rsid w:val="005128C6"/>
    <w:rsid w:val="00522028"/>
    <w:rsid w:val="00531BC2"/>
    <w:rsid w:val="00587C03"/>
    <w:rsid w:val="005A3669"/>
    <w:rsid w:val="005A64F3"/>
    <w:rsid w:val="005A7A7F"/>
    <w:rsid w:val="005B0973"/>
    <w:rsid w:val="005B09B0"/>
    <w:rsid w:val="005B1A0F"/>
    <w:rsid w:val="005C0D7C"/>
    <w:rsid w:val="005C5EF1"/>
    <w:rsid w:val="005C67C9"/>
    <w:rsid w:val="005D6040"/>
    <w:rsid w:val="005D61A8"/>
    <w:rsid w:val="005D6E5B"/>
    <w:rsid w:val="005F06EC"/>
    <w:rsid w:val="005F18F6"/>
    <w:rsid w:val="00600570"/>
    <w:rsid w:val="006007AC"/>
    <w:rsid w:val="00607FBA"/>
    <w:rsid w:val="00616255"/>
    <w:rsid w:val="00630B03"/>
    <w:rsid w:val="006659CD"/>
    <w:rsid w:val="00670A8D"/>
    <w:rsid w:val="0067243F"/>
    <w:rsid w:val="00693110"/>
    <w:rsid w:val="006A5909"/>
    <w:rsid w:val="006B45BF"/>
    <w:rsid w:val="006B5C69"/>
    <w:rsid w:val="006B6FF2"/>
    <w:rsid w:val="006C1E3E"/>
    <w:rsid w:val="006D76AC"/>
    <w:rsid w:val="006E043B"/>
    <w:rsid w:val="006F13F1"/>
    <w:rsid w:val="007048DA"/>
    <w:rsid w:val="00711AB0"/>
    <w:rsid w:val="00713E8A"/>
    <w:rsid w:val="00731186"/>
    <w:rsid w:val="00731CC4"/>
    <w:rsid w:val="00752B08"/>
    <w:rsid w:val="007609DC"/>
    <w:rsid w:val="0076325B"/>
    <w:rsid w:val="007854E6"/>
    <w:rsid w:val="00797725"/>
    <w:rsid w:val="007B75D2"/>
    <w:rsid w:val="007B75D4"/>
    <w:rsid w:val="007D14A3"/>
    <w:rsid w:val="007D49FA"/>
    <w:rsid w:val="007E6832"/>
    <w:rsid w:val="00803B57"/>
    <w:rsid w:val="00806505"/>
    <w:rsid w:val="00811016"/>
    <w:rsid w:val="008138B2"/>
    <w:rsid w:val="008140A5"/>
    <w:rsid w:val="00814518"/>
    <w:rsid w:val="008165C9"/>
    <w:rsid w:val="00820BFB"/>
    <w:rsid w:val="00823B6E"/>
    <w:rsid w:val="008265A8"/>
    <w:rsid w:val="008266A9"/>
    <w:rsid w:val="008363FD"/>
    <w:rsid w:val="0083785A"/>
    <w:rsid w:val="008418EB"/>
    <w:rsid w:val="008426D4"/>
    <w:rsid w:val="00845B49"/>
    <w:rsid w:val="00847C81"/>
    <w:rsid w:val="00851D51"/>
    <w:rsid w:val="008608ED"/>
    <w:rsid w:val="00860DD4"/>
    <w:rsid w:val="008624D6"/>
    <w:rsid w:val="00864DDE"/>
    <w:rsid w:val="00867727"/>
    <w:rsid w:val="008845E9"/>
    <w:rsid w:val="0088503F"/>
    <w:rsid w:val="008854AD"/>
    <w:rsid w:val="00897EC1"/>
    <w:rsid w:val="008A02A8"/>
    <w:rsid w:val="008B0810"/>
    <w:rsid w:val="008C6D90"/>
    <w:rsid w:val="008D1526"/>
    <w:rsid w:val="00903ED1"/>
    <w:rsid w:val="00905B60"/>
    <w:rsid w:val="00907367"/>
    <w:rsid w:val="0093064E"/>
    <w:rsid w:val="009440B9"/>
    <w:rsid w:val="00963FA4"/>
    <w:rsid w:val="00965DF3"/>
    <w:rsid w:val="009677B1"/>
    <w:rsid w:val="009745AD"/>
    <w:rsid w:val="009762CB"/>
    <w:rsid w:val="009826AA"/>
    <w:rsid w:val="00984A5D"/>
    <w:rsid w:val="009856AA"/>
    <w:rsid w:val="00987306"/>
    <w:rsid w:val="009920CB"/>
    <w:rsid w:val="00994EF9"/>
    <w:rsid w:val="009A1232"/>
    <w:rsid w:val="009A37C2"/>
    <w:rsid w:val="009A74FB"/>
    <w:rsid w:val="009B0E80"/>
    <w:rsid w:val="009B7D3B"/>
    <w:rsid w:val="009C15D3"/>
    <w:rsid w:val="009E03A3"/>
    <w:rsid w:val="009E7692"/>
    <w:rsid w:val="009F2C64"/>
    <w:rsid w:val="009F2F1F"/>
    <w:rsid w:val="009F7FF0"/>
    <w:rsid w:val="00A10D8B"/>
    <w:rsid w:val="00A32BE3"/>
    <w:rsid w:val="00A35D83"/>
    <w:rsid w:val="00A43FA7"/>
    <w:rsid w:val="00A5353F"/>
    <w:rsid w:val="00A77545"/>
    <w:rsid w:val="00A77DF1"/>
    <w:rsid w:val="00A808BC"/>
    <w:rsid w:val="00A81665"/>
    <w:rsid w:val="00A82D60"/>
    <w:rsid w:val="00A869AB"/>
    <w:rsid w:val="00A91A8F"/>
    <w:rsid w:val="00A931E3"/>
    <w:rsid w:val="00A96631"/>
    <w:rsid w:val="00AA352B"/>
    <w:rsid w:val="00AB4474"/>
    <w:rsid w:val="00AB70B7"/>
    <w:rsid w:val="00AC1ADF"/>
    <w:rsid w:val="00AC66DB"/>
    <w:rsid w:val="00AD22A9"/>
    <w:rsid w:val="00AD2EB8"/>
    <w:rsid w:val="00AE5CAC"/>
    <w:rsid w:val="00AE7F0E"/>
    <w:rsid w:val="00AF6E8B"/>
    <w:rsid w:val="00B13A32"/>
    <w:rsid w:val="00B301DF"/>
    <w:rsid w:val="00B30A33"/>
    <w:rsid w:val="00B365A3"/>
    <w:rsid w:val="00B509D9"/>
    <w:rsid w:val="00B5161F"/>
    <w:rsid w:val="00B60052"/>
    <w:rsid w:val="00B76456"/>
    <w:rsid w:val="00B77FE9"/>
    <w:rsid w:val="00B82A4A"/>
    <w:rsid w:val="00B85F53"/>
    <w:rsid w:val="00B9017A"/>
    <w:rsid w:val="00B90672"/>
    <w:rsid w:val="00B919A6"/>
    <w:rsid w:val="00BA4360"/>
    <w:rsid w:val="00BB3A7B"/>
    <w:rsid w:val="00BB3F18"/>
    <w:rsid w:val="00BB58FC"/>
    <w:rsid w:val="00BD56A7"/>
    <w:rsid w:val="00BE4C86"/>
    <w:rsid w:val="00BE7908"/>
    <w:rsid w:val="00BF3A4D"/>
    <w:rsid w:val="00C12338"/>
    <w:rsid w:val="00C13D4F"/>
    <w:rsid w:val="00C2053C"/>
    <w:rsid w:val="00C3044E"/>
    <w:rsid w:val="00C31857"/>
    <w:rsid w:val="00C369C2"/>
    <w:rsid w:val="00C43836"/>
    <w:rsid w:val="00C47D02"/>
    <w:rsid w:val="00C62A0B"/>
    <w:rsid w:val="00C6331E"/>
    <w:rsid w:val="00C7445E"/>
    <w:rsid w:val="00C75122"/>
    <w:rsid w:val="00C82E05"/>
    <w:rsid w:val="00C86172"/>
    <w:rsid w:val="00CA0A4A"/>
    <w:rsid w:val="00CA2F17"/>
    <w:rsid w:val="00CD066E"/>
    <w:rsid w:val="00CE7007"/>
    <w:rsid w:val="00CF77C8"/>
    <w:rsid w:val="00D10C8C"/>
    <w:rsid w:val="00D11AA5"/>
    <w:rsid w:val="00D12D27"/>
    <w:rsid w:val="00D1380D"/>
    <w:rsid w:val="00D21733"/>
    <w:rsid w:val="00D25DBA"/>
    <w:rsid w:val="00D31604"/>
    <w:rsid w:val="00D33CAE"/>
    <w:rsid w:val="00D37736"/>
    <w:rsid w:val="00D57EA6"/>
    <w:rsid w:val="00D6332F"/>
    <w:rsid w:val="00D63D39"/>
    <w:rsid w:val="00D66981"/>
    <w:rsid w:val="00D713B7"/>
    <w:rsid w:val="00D74954"/>
    <w:rsid w:val="00D95EB5"/>
    <w:rsid w:val="00D966BB"/>
    <w:rsid w:val="00DA09BA"/>
    <w:rsid w:val="00DA7A73"/>
    <w:rsid w:val="00DB23D1"/>
    <w:rsid w:val="00DB3C22"/>
    <w:rsid w:val="00DC5DBE"/>
    <w:rsid w:val="00DC6C8C"/>
    <w:rsid w:val="00DC7739"/>
    <w:rsid w:val="00DE4606"/>
    <w:rsid w:val="00DE5D43"/>
    <w:rsid w:val="00DF1665"/>
    <w:rsid w:val="00E01EE8"/>
    <w:rsid w:val="00E0495E"/>
    <w:rsid w:val="00E064F0"/>
    <w:rsid w:val="00E23B7B"/>
    <w:rsid w:val="00E30484"/>
    <w:rsid w:val="00E46CE4"/>
    <w:rsid w:val="00E501C1"/>
    <w:rsid w:val="00E5368A"/>
    <w:rsid w:val="00E70634"/>
    <w:rsid w:val="00E71888"/>
    <w:rsid w:val="00E8335E"/>
    <w:rsid w:val="00E94337"/>
    <w:rsid w:val="00EA1C52"/>
    <w:rsid w:val="00EA7DA4"/>
    <w:rsid w:val="00EB55E5"/>
    <w:rsid w:val="00EB6180"/>
    <w:rsid w:val="00EB7F07"/>
    <w:rsid w:val="00EC7E27"/>
    <w:rsid w:val="00ED173F"/>
    <w:rsid w:val="00ED2AF5"/>
    <w:rsid w:val="00EE4584"/>
    <w:rsid w:val="00EF1E07"/>
    <w:rsid w:val="00EF760A"/>
    <w:rsid w:val="00EF7C04"/>
    <w:rsid w:val="00F036F1"/>
    <w:rsid w:val="00F1010D"/>
    <w:rsid w:val="00F10530"/>
    <w:rsid w:val="00F10B2D"/>
    <w:rsid w:val="00F14F8B"/>
    <w:rsid w:val="00F17B55"/>
    <w:rsid w:val="00F2202F"/>
    <w:rsid w:val="00F254F5"/>
    <w:rsid w:val="00F36055"/>
    <w:rsid w:val="00F36BFC"/>
    <w:rsid w:val="00F43EE6"/>
    <w:rsid w:val="00F51CDE"/>
    <w:rsid w:val="00F5504D"/>
    <w:rsid w:val="00F6334E"/>
    <w:rsid w:val="00F6465F"/>
    <w:rsid w:val="00F66100"/>
    <w:rsid w:val="00F74BA8"/>
    <w:rsid w:val="00F80D95"/>
    <w:rsid w:val="00F85172"/>
    <w:rsid w:val="00F86437"/>
    <w:rsid w:val="00F91819"/>
    <w:rsid w:val="00F9214E"/>
    <w:rsid w:val="00F94625"/>
    <w:rsid w:val="00F97AD3"/>
    <w:rsid w:val="00FB4ECF"/>
    <w:rsid w:val="00FB5881"/>
    <w:rsid w:val="00FC48D7"/>
    <w:rsid w:val="00FC70FA"/>
    <w:rsid w:val="00FE0B69"/>
    <w:rsid w:val="00FF2546"/>
    <w:rsid w:val="00FF55D0"/>
    <w:rsid w:val="00FF5B3F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65A3"/>
  </w:style>
  <w:style w:type="paragraph" w:styleId="Rodap">
    <w:name w:val="footer"/>
    <w:basedOn w:val="Normal"/>
    <w:link w:val="RodapChar"/>
    <w:uiPriority w:val="99"/>
    <w:semiHidden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65A3"/>
  </w:style>
  <w:style w:type="paragraph" w:styleId="Textodebalo">
    <w:name w:val="Balloon Text"/>
    <w:basedOn w:val="Normal"/>
    <w:link w:val="TextodebaloChar"/>
    <w:uiPriority w:val="99"/>
    <w:semiHidden/>
    <w:unhideWhenUsed/>
    <w:rsid w:val="00B3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38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36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50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50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50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762C-6E27-45E7-B190-0721E815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2032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Gustavo</cp:lastModifiedBy>
  <cp:revision>31</cp:revision>
  <cp:lastPrinted>2018-04-19T20:09:00Z</cp:lastPrinted>
  <dcterms:created xsi:type="dcterms:W3CDTF">2021-11-18T13:33:00Z</dcterms:created>
  <dcterms:modified xsi:type="dcterms:W3CDTF">2021-11-18T15:18:00Z</dcterms:modified>
</cp:coreProperties>
</file>