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014476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14476">
        <w:rPr>
          <w:rFonts w:ascii="Palatino Linotype" w:hAnsi="Palatino Linotype"/>
          <w:b/>
          <w:sz w:val="24"/>
          <w:szCs w:val="24"/>
        </w:rPr>
        <w:t>PARECER JURÍDICO</w:t>
      </w:r>
      <w:r w:rsidR="00BC5779" w:rsidRPr="00014476">
        <w:rPr>
          <w:rFonts w:ascii="Palatino Linotype" w:hAnsi="Palatino Linotype"/>
          <w:b/>
          <w:sz w:val="24"/>
          <w:szCs w:val="24"/>
        </w:rPr>
        <w:t xml:space="preserve"> Nº</w:t>
      </w:r>
      <w:r w:rsidR="00093F82" w:rsidRPr="00014476">
        <w:rPr>
          <w:rFonts w:ascii="Palatino Linotype" w:hAnsi="Palatino Linotype"/>
          <w:b/>
          <w:sz w:val="24"/>
          <w:szCs w:val="24"/>
        </w:rPr>
        <w:t xml:space="preserve"> </w:t>
      </w:r>
      <w:r w:rsidR="00D967B1">
        <w:rPr>
          <w:rFonts w:ascii="Palatino Linotype" w:hAnsi="Palatino Linotype"/>
          <w:b/>
          <w:sz w:val="24"/>
          <w:szCs w:val="24"/>
        </w:rPr>
        <w:t>193</w:t>
      </w:r>
      <w:r w:rsidR="00093F82" w:rsidRPr="00014476">
        <w:rPr>
          <w:rFonts w:ascii="Palatino Linotype" w:hAnsi="Palatino Linotype"/>
          <w:b/>
          <w:sz w:val="24"/>
          <w:szCs w:val="24"/>
        </w:rPr>
        <w:t>/202</w:t>
      </w:r>
      <w:r w:rsidR="000C6718">
        <w:rPr>
          <w:rFonts w:ascii="Palatino Linotype" w:hAnsi="Palatino Linotype"/>
          <w:b/>
          <w:sz w:val="24"/>
          <w:szCs w:val="24"/>
        </w:rPr>
        <w:t>3</w:t>
      </w:r>
    </w:p>
    <w:p w:rsidR="008138B2" w:rsidRPr="00014476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01447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14476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014476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014476" w:rsidRDefault="00154A45" w:rsidP="00075FF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O</w:t>
      </w:r>
      <w:r w:rsidR="00371666" w:rsidRPr="00014476">
        <w:rPr>
          <w:rFonts w:ascii="Palatino Linotype" w:hAnsi="Palatino Linotype"/>
          <w:sz w:val="24"/>
          <w:szCs w:val="24"/>
        </w:rPr>
        <w:t xml:space="preserve"> Vereador </w:t>
      </w:r>
      <w:r w:rsidR="000C6718">
        <w:rPr>
          <w:rFonts w:ascii="Palatino Linotype" w:hAnsi="Palatino Linotype"/>
          <w:sz w:val="24"/>
          <w:szCs w:val="24"/>
        </w:rPr>
        <w:t>Dr. João Collares</w:t>
      </w:r>
      <w:r w:rsidRPr="00014476">
        <w:rPr>
          <w:rFonts w:ascii="Palatino Linotype" w:hAnsi="Palatino Linotype"/>
          <w:sz w:val="24"/>
          <w:szCs w:val="24"/>
        </w:rPr>
        <w:t xml:space="preserve"> (</w:t>
      </w:r>
      <w:r w:rsidR="000C6718">
        <w:rPr>
          <w:rFonts w:ascii="Palatino Linotype" w:hAnsi="Palatino Linotype"/>
          <w:sz w:val="24"/>
          <w:szCs w:val="24"/>
        </w:rPr>
        <w:t>PDT</w:t>
      </w:r>
      <w:r w:rsidRPr="00014476">
        <w:rPr>
          <w:rFonts w:ascii="Palatino Linotype" w:hAnsi="Palatino Linotype"/>
          <w:sz w:val="24"/>
          <w:szCs w:val="24"/>
        </w:rPr>
        <w:t>)</w:t>
      </w:r>
      <w:r w:rsidR="00371666" w:rsidRPr="00014476">
        <w:rPr>
          <w:rFonts w:ascii="Palatino Linotype" w:hAnsi="Palatino Linotype"/>
          <w:sz w:val="24"/>
          <w:szCs w:val="24"/>
        </w:rPr>
        <w:t xml:space="preserve"> apresentou o Projeto de Lei nº </w:t>
      </w:r>
      <w:r w:rsidR="00852AAE" w:rsidRPr="00014476">
        <w:rPr>
          <w:rFonts w:ascii="Palatino Linotype" w:hAnsi="Palatino Linotype"/>
          <w:sz w:val="24"/>
          <w:szCs w:val="24"/>
        </w:rPr>
        <w:t>0</w:t>
      </w:r>
      <w:r w:rsidR="000C6718">
        <w:rPr>
          <w:rFonts w:ascii="Palatino Linotype" w:hAnsi="Palatino Linotype"/>
          <w:sz w:val="24"/>
          <w:szCs w:val="24"/>
        </w:rPr>
        <w:t>81</w:t>
      </w:r>
      <w:r w:rsidR="00371666" w:rsidRPr="00014476">
        <w:rPr>
          <w:rFonts w:ascii="Palatino Linotype" w:hAnsi="Palatino Linotype"/>
          <w:sz w:val="24"/>
          <w:szCs w:val="24"/>
        </w:rPr>
        <w:t>/20</w:t>
      </w:r>
      <w:r w:rsidRPr="00014476">
        <w:rPr>
          <w:rFonts w:ascii="Palatino Linotype" w:hAnsi="Palatino Linotype"/>
          <w:sz w:val="24"/>
          <w:szCs w:val="24"/>
        </w:rPr>
        <w:t>2</w:t>
      </w:r>
      <w:r w:rsidR="00D967B1">
        <w:rPr>
          <w:rFonts w:ascii="Palatino Linotype" w:hAnsi="Palatino Linotype"/>
          <w:sz w:val="24"/>
          <w:szCs w:val="24"/>
        </w:rPr>
        <w:t>3</w:t>
      </w:r>
      <w:r w:rsidR="00371666" w:rsidRPr="00014476">
        <w:rPr>
          <w:rFonts w:ascii="Palatino Linotype" w:hAnsi="Palatino Linotype"/>
          <w:sz w:val="24"/>
          <w:szCs w:val="24"/>
        </w:rPr>
        <w:t xml:space="preserve"> à Câmara Municipal,</w:t>
      </w:r>
      <w:r w:rsidRPr="00014476">
        <w:rPr>
          <w:rFonts w:ascii="Palatino Linotype" w:hAnsi="Palatino Linotype"/>
          <w:sz w:val="24"/>
          <w:szCs w:val="24"/>
        </w:rPr>
        <w:t xml:space="preserve"> o qual “</w:t>
      </w:r>
      <w:r w:rsidR="000C6718" w:rsidRPr="000C6718">
        <w:rPr>
          <w:rFonts w:ascii="Palatino Linotype" w:hAnsi="Palatino Linotype"/>
          <w:sz w:val="24"/>
          <w:szCs w:val="24"/>
        </w:rPr>
        <w:t>Determina a fixação no solo da base das goleiras que se destinam a práticas esportivas nos espaços públicos e privados no Município de Guaíba</w:t>
      </w:r>
      <w:r w:rsidRPr="00014476">
        <w:rPr>
          <w:rFonts w:ascii="Palatino Linotype" w:hAnsi="Palatino Linotype"/>
          <w:sz w:val="24"/>
          <w:szCs w:val="24"/>
        </w:rPr>
        <w:t>”</w:t>
      </w:r>
      <w:r w:rsidR="00075FF3" w:rsidRPr="00014476">
        <w:rPr>
          <w:rFonts w:ascii="Palatino Linotype" w:hAnsi="Palatino Linotype"/>
          <w:sz w:val="24"/>
          <w:szCs w:val="24"/>
        </w:rPr>
        <w:t>.</w:t>
      </w:r>
      <w:r w:rsidR="00852AAE" w:rsidRPr="00014476">
        <w:rPr>
          <w:rFonts w:ascii="Palatino Linotype" w:hAnsi="Palatino Linotype"/>
          <w:sz w:val="24"/>
          <w:szCs w:val="24"/>
        </w:rPr>
        <w:t xml:space="preserve"> A proposta foi encaminhada à Procuradoria para análise nos termos do artigo </w:t>
      </w:r>
      <w:r w:rsidR="00D967B1">
        <w:rPr>
          <w:rFonts w:ascii="Palatino Linotype" w:hAnsi="Palatino Linotype"/>
          <w:sz w:val="24"/>
          <w:szCs w:val="24"/>
        </w:rPr>
        <w:t>94</w:t>
      </w:r>
      <w:r w:rsidR="00852AAE" w:rsidRPr="00014476">
        <w:rPr>
          <w:rFonts w:ascii="Palatino Linotype" w:hAnsi="Palatino Linotype"/>
          <w:sz w:val="24"/>
          <w:szCs w:val="24"/>
        </w:rPr>
        <w:t xml:space="preserve"> do Regimento Interno da Câmara Municipal.</w:t>
      </w:r>
    </w:p>
    <w:p w:rsidR="00371666" w:rsidRPr="00014476" w:rsidRDefault="00371666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014476" w:rsidRDefault="007D3A16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14476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014476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E6A65" w:rsidRPr="00014476" w:rsidRDefault="002E6A65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O artigo 18 da Constituição Federal de 1988, inaugurando o tema da organização do Estado, prevê que “A organização político-administrativa da República Federativa do Brasil compreende a União, os Estados, o Distrito F</w:t>
      </w:r>
      <w:r w:rsidRPr="00014476">
        <w:rPr>
          <w:rFonts w:ascii="Palatino Linotype" w:hAnsi="Palatino Linotype"/>
          <w:sz w:val="24"/>
          <w:szCs w:val="24"/>
        </w:rPr>
        <w:t>e</w:t>
      </w:r>
      <w:r w:rsidRPr="00014476">
        <w:rPr>
          <w:rFonts w:ascii="Palatino Linotype" w:hAnsi="Palatino Linotype"/>
          <w:sz w:val="24"/>
          <w:szCs w:val="24"/>
        </w:rPr>
        <w:t xml:space="preserve">deral e os Municípios, </w:t>
      </w:r>
      <w:r w:rsidRPr="00014476">
        <w:rPr>
          <w:rFonts w:ascii="Palatino Linotype" w:hAnsi="Palatino Linotype"/>
          <w:b/>
          <w:sz w:val="24"/>
          <w:szCs w:val="24"/>
        </w:rPr>
        <w:t>todos autônomos</w:t>
      </w:r>
      <w:r w:rsidRPr="00014476">
        <w:rPr>
          <w:rFonts w:ascii="Palatino Linotype" w:hAnsi="Palatino Linotype"/>
          <w:sz w:val="24"/>
          <w:szCs w:val="24"/>
        </w:rPr>
        <w:t>, nos termos desta Constituição.”</w:t>
      </w:r>
      <w:r w:rsidR="00AE7283" w:rsidRPr="00014476">
        <w:rPr>
          <w:rFonts w:ascii="Palatino Linotype" w:hAnsi="Palatino Linotype"/>
          <w:sz w:val="24"/>
          <w:szCs w:val="24"/>
        </w:rPr>
        <w:t xml:space="preserve"> O termo “autonomia política”, sob o ponto de vista jurídico, congrega um conju</w:t>
      </w:r>
      <w:r w:rsidR="00AE7283" w:rsidRPr="00014476">
        <w:rPr>
          <w:rFonts w:ascii="Palatino Linotype" w:hAnsi="Palatino Linotype"/>
          <w:sz w:val="24"/>
          <w:szCs w:val="24"/>
        </w:rPr>
        <w:t>n</w:t>
      </w:r>
      <w:r w:rsidR="00AE7283" w:rsidRPr="00014476">
        <w:rPr>
          <w:rFonts w:ascii="Palatino Linotype" w:hAnsi="Palatino Linotype"/>
          <w:sz w:val="24"/>
          <w:szCs w:val="24"/>
        </w:rPr>
        <w:t>to de capacidades c</w:t>
      </w:r>
      <w:r w:rsidR="003A288D" w:rsidRPr="00014476">
        <w:rPr>
          <w:rFonts w:ascii="Palatino Linotype" w:hAnsi="Palatino Linotype"/>
          <w:sz w:val="24"/>
          <w:szCs w:val="24"/>
        </w:rPr>
        <w:t>onferidas aos entes federados para instituir a sua organiz</w:t>
      </w:r>
      <w:r w:rsidR="003A288D" w:rsidRPr="00014476">
        <w:rPr>
          <w:rFonts w:ascii="Palatino Linotype" w:hAnsi="Palatino Linotype"/>
          <w:sz w:val="24"/>
          <w:szCs w:val="24"/>
        </w:rPr>
        <w:t>a</w:t>
      </w:r>
      <w:r w:rsidR="003A288D" w:rsidRPr="00014476">
        <w:rPr>
          <w:rFonts w:ascii="Palatino Linotype" w:hAnsi="Palatino Linotype"/>
          <w:sz w:val="24"/>
          <w:szCs w:val="24"/>
        </w:rPr>
        <w:t xml:space="preserve">ção, legislação, </w:t>
      </w:r>
      <w:r w:rsidR="00673634" w:rsidRPr="00014476">
        <w:rPr>
          <w:rFonts w:ascii="Palatino Linotype" w:hAnsi="Palatino Linotype"/>
          <w:sz w:val="24"/>
          <w:szCs w:val="24"/>
        </w:rPr>
        <w:t>a administração e o governo próprios.</w:t>
      </w:r>
    </w:p>
    <w:p w:rsidR="003A288D" w:rsidRPr="00014476" w:rsidRDefault="003A288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A288D" w:rsidRPr="00014476" w:rsidRDefault="003A288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A auto-organização dos Municípios está disciplinada, originariame</w:t>
      </w:r>
      <w:r w:rsidRPr="00014476">
        <w:rPr>
          <w:rFonts w:ascii="Palatino Linotype" w:hAnsi="Palatino Linotype"/>
          <w:sz w:val="24"/>
          <w:szCs w:val="24"/>
        </w:rPr>
        <w:t>n</w:t>
      </w:r>
      <w:r w:rsidRPr="00014476">
        <w:rPr>
          <w:rFonts w:ascii="Palatino Linotype" w:hAnsi="Palatino Linotype"/>
          <w:sz w:val="24"/>
          <w:szCs w:val="24"/>
        </w:rPr>
        <w:t xml:space="preserve">te, no artigo 29, </w:t>
      </w:r>
      <w:r w:rsidRPr="00014476">
        <w:rPr>
          <w:rFonts w:ascii="Palatino Linotype" w:hAnsi="Palatino Linotype"/>
          <w:i/>
          <w:sz w:val="24"/>
          <w:szCs w:val="24"/>
        </w:rPr>
        <w:t>caput</w:t>
      </w:r>
      <w:r w:rsidRPr="00014476">
        <w:rPr>
          <w:rFonts w:ascii="Palatino Linotype" w:hAnsi="Palatino Linotype"/>
          <w:sz w:val="24"/>
          <w:szCs w:val="24"/>
        </w:rPr>
        <w:t>, da Constituição Federal, que prevê: “O Município reger-se-á por lei orgânica, votada em dois turnos, com o interstício mínimo de dez dias, e aprovada por dois terços dos membros da Câmara Municipal, que a promulgará, atendidos os princípios estabelecidos na Constituição, na Constit</w:t>
      </w:r>
      <w:r w:rsidRPr="00014476">
        <w:rPr>
          <w:rFonts w:ascii="Palatino Linotype" w:hAnsi="Palatino Linotype"/>
          <w:sz w:val="24"/>
          <w:szCs w:val="24"/>
        </w:rPr>
        <w:t>u</w:t>
      </w:r>
      <w:r w:rsidRPr="00014476">
        <w:rPr>
          <w:rFonts w:ascii="Palatino Linotype" w:hAnsi="Palatino Linotype"/>
          <w:sz w:val="24"/>
          <w:szCs w:val="24"/>
        </w:rPr>
        <w:t xml:space="preserve">ição do respectivo </w:t>
      </w:r>
      <w:r w:rsidR="00752F5F" w:rsidRPr="00014476">
        <w:rPr>
          <w:rFonts w:ascii="Palatino Linotype" w:hAnsi="Palatino Linotype"/>
          <w:sz w:val="24"/>
          <w:szCs w:val="24"/>
        </w:rPr>
        <w:t>Estado e os seguintes preceitos</w:t>
      </w:r>
      <w:r w:rsidRPr="00014476">
        <w:rPr>
          <w:rFonts w:ascii="Palatino Linotype" w:hAnsi="Palatino Linotype"/>
          <w:sz w:val="24"/>
          <w:szCs w:val="24"/>
        </w:rPr>
        <w:t>”</w:t>
      </w:r>
      <w:r w:rsidR="00F36828" w:rsidRPr="00014476">
        <w:rPr>
          <w:rFonts w:ascii="Palatino Linotype" w:hAnsi="Palatino Linotype"/>
          <w:sz w:val="24"/>
          <w:szCs w:val="24"/>
        </w:rPr>
        <w:t>.</w:t>
      </w:r>
    </w:p>
    <w:p w:rsidR="003A288D" w:rsidRPr="00014476" w:rsidRDefault="003A288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A288D" w:rsidRPr="00014476" w:rsidRDefault="003A288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lastRenderedPageBreak/>
        <w:t>O autogoverno se expressa na existência de representantes próprios dos Poderes Executivo e Legislativo em âmbito municipal – Prefeito, Vice-Prefeito e Vereadores –, que são eleitos diretamente pelo povo</w:t>
      </w:r>
      <w:r w:rsidR="00FC4FA4" w:rsidRPr="00014476">
        <w:rPr>
          <w:rFonts w:ascii="Palatino Linotype" w:hAnsi="Palatino Linotype"/>
          <w:sz w:val="24"/>
          <w:szCs w:val="24"/>
        </w:rPr>
        <w:t>. A autoadmini</w:t>
      </w:r>
      <w:r w:rsidR="00FC4FA4" w:rsidRPr="00014476">
        <w:rPr>
          <w:rFonts w:ascii="Palatino Linotype" w:hAnsi="Palatino Linotype"/>
          <w:sz w:val="24"/>
          <w:szCs w:val="24"/>
        </w:rPr>
        <w:t>s</w:t>
      </w:r>
      <w:r w:rsidR="00FC4FA4" w:rsidRPr="00014476">
        <w:rPr>
          <w:rFonts w:ascii="Palatino Linotype" w:hAnsi="Palatino Linotype"/>
          <w:sz w:val="24"/>
          <w:szCs w:val="24"/>
        </w:rPr>
        <w:t xml:space="preserve">tração </w:t>
      </w:r>
      <w:r w:rsidR="00C72C1D" w:rsidRPr="00014476">
        <w:rPr>
          <w:rFonts w:ascii="Palatino Linotype" w:hAnsi="Palatino Linotype"/>
          <w:sz w:val="24"/>
          <w:szCs w:val="24"/>
        </w:rPr>
        <w:t xml:space="preserve">e a autolegislação </w:t>
      </w:r>
      <w:r w:rsidR="00FC4FA4" w:rsidRPr="00014476">
        <w:rPr>
          <w:rFonts w:ascii="Palatino Linotype" w:hAnsi="Palatino Linotype"/>
          <w:sz w:val="24"/>
          <w:szCs w:val="24"/>
        </w:rPr>
        <w:t>contempla</w:t>
      </w:r>
      <w:r w:rsidR="00C72C1D" w:rsidRPr="00014476">
        <w:rPr>
          <w:rFonts w:ascii="Palatino Linotype" w:hAnsi="Palatino Linotype"/>
          <w:sz w:val="24"/>
          <w:szCs w:val="24"/>
        </w:rPr>
        <w:t>m</w:t>
      </w:r>
      <w:r w:rsidR="00FC4FA4" w:rsidRPr="00014476">
        <w:rPr>
          <w:rFonts w:ascii="Palatino Linotype" w:hAnsi="Palatino Linotype"/>
          <w:sz w:val="24"/>
          <w:szCs w:val="24"/>
        </w:rPr>
        <w:t xml:space="preserve"> o conjunto de competências materiais</w:t>
      </w:r>
      <w:r w:rsidR="00C72C1D" w:rsidRPr="00014476">
        <w:rPr>
          <w:rFonts w:ascii="Palatino Linotype" w:hAnsi="Palatino Linotype"/>
          <w:sz w:val="24"/>
          <w:szCs w:val="24"/>
        </w:rPr>
        <w:t xml:space="preserve"> e legislativas</w:t>
      </w:r>
      <w:r w:rsidR="00FC4FA4" w:rsidRPr="00014476">
        <w:rPr>
          <w:rFonts w:ascii="Palatino Linotype" w:hAnsi="Palatino Linotype"/>
          <w:sz w:val="24"/>
          <w:szCs w:val="24"/>
        </w:rPr>
        <w:t xml:space="preserve"> pre</w:t>
      </w:r>
      <w:r w:rsidR="00C72C1D" w:rsidRPr="00014476">
        <w:rPr>
          <w:rFonts w:ascii="Palatino Linotype" w:hAnsi="Palatino Linotype"/>
          <w:sz w:val="24"/>
          <w:szCs w:val="24"/>
        </w:rPr>
        <w:t>vistas na Constituição Federal.</w:t>
      </w:r>
    </w:p>
    <w:p w:rsidR="00C72C1D" w:rsidRPr="00014476" w:rsidRDefault="00C72C1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72C1D" w:rsidRPr="00014476" w:rsidRDefault="00C72C1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A respeito da autoadministração e da autolegislação, transcreve-se o artigo 30 da Constituição Federal, que enumera a</w:t>
      </w:r>
      <w:r w:rsidR="00202639" w:rsidRPr="00014476">
        <w:rPr>
          <w:rFonts w:ascii="Palatino Linotype" w:hAnsi="Palatino Linotype"/>
          <w:sz w:val="24"/>
          <w:szCs w:val="24"/>
        </w:rPr>
        <w:t xml:space="preserve">lgumas das </w:t>
      </w:r>
      <w:r w:rsidRPr="00014476">
        <w:rPr>
          <w:rFonts w:ascii="Palatino Linotype" w:hAnsi="Palatino Linotype"/>
          <w:sz w:val="24"/>
          <w:szCs w:val="24"/>
        </w:rPr>
        <w:t>competências dos Municípios:</w:t>
      </w:r>
    </w:p>
    <w:p w:rsidR="00C72C1D" w:rsidRPr="00014476" w:rsidRDefault="00C72C1D" w:rsidP="00AE72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Art. 30. Compete aos Municípios: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b/>
          <w:szCs w:val="20"/>
        </w:rPr>
      </w:pPr>
      <w:r w:rsidRPr="00014476">
        <w:rPr>
          <w:rFonts w:ascii="Palatino Linotype" w:hAnsi="Palatino Linotype"/>
          <w:b/>
          <w:szCs w:val="20"/>
        </w:rPr>
        <w:t>I - legislar sobre assuntos de interesse local;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b/>
          <w:szCs w:val="20"/>
        </w:rPr>
      </w:pPr>
      <w:r w:rsidRPr="00014476">
        <w:rPr>
          <w:rFonts w:ascii="Palatino Linotype" w:hAnsi="Palatino Linotype"/>
          <w:b/>
          <w:szCs w:val="20"/>
        </w:rPr>
        <w:t>II - suplementar a legislação federal e a estadual no que co</w:t>
      </w:r>
      <w:r w:rsidRPr="00014476">
        <w:rPr>
          <w:rFonts w:ascii="Palatino Linotype" w:hAnsi="Palatino Linotype"/>
          <w:b/>
          <w:szCs w:val="20"/>
        </w:rPr>
        <w:t>u</w:t>
      </w:r>
      <w:r w:rsidRPr="00014476">
        <w:rPr>
          <w:rFonts w:ascii="Palatino Linotype" w:hAnsi="Palatino Linotype"/>
          <w:b/>
          <w:szCs w:val="20"/>
        </w:rPr>
        <w:t>ber;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IV - criar, organizar e suprimir distritos, observada a legislação estadual;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V - organizar e prestar, diretamente ou sob regime de concessão ou permissão, os serviços públicos de interesse local, incluído o de transporte coletivo, que tem caráter essencial;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VI - manter, com a cooperação técnica e financeira da União e do Estado, programas de educação infantil e de ensino fund</w:t>
      </w:r>
      <w:r w:rsidRPr="00014476">
        <w:rPr>
          <w:rFonts w:ascii="Palatino Linotype" w:hAnsi="Palatino Linotype"/>
          <w:szCs w:val="20"/>
        </w:rPr>
        <w:t>a</w:t>
      </w:r>
      <w:r w:rsidRPr="00014476">
        <w:rPr>
          <w:rFonts w:ascii="Palatino Linotype" w:hAnsi="Palatino Linotype"/>
          <w:szCs w:val="20"/>
        </w:rPr>
        <w:t>mental; (Redação dada pela Emenda Constitucional nº 53, de 2006)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VII - prestar, com a cooperação técnica e financeira da União e do Estado, serviços de atendimento à saúde da população;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VIII - promover, no que couber, adequado ordenamento territ</w:t>
      </w:r>
      <w:r w:rsidRPr="00014476">
        <w:rPr>
          <w:rFonts w:ascii="Palatino Linotype" w:hAnsi="Palatino Linotype"/>
          <w:szCs w:val="20"/>
        </w:rPr>
        <w:t>o</w:t>
      </w:r>
      <w:r w:rsidRPr="00014476">
        <w:rPr>
          <w:rFonts w:ascii="Palatino Linotype" w:hAnsi="Palatino Linotype"/>
          <w:szCs w:val="20"/>
        </w:rPr>
        <w:t>rial, mediante planejamento e controle do uso, do parcelamento e da ocupação do solo urbano;</w:t>
      </w:r>
    </w:p>
    <w:p w:rsidR="00C72C1D" w:rsidRPr="00014476" w:rsidRDefault="00C72C1D" w:rsidP="00C72C1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IX - promover a proteção do patrimônio histórico-cultural local, observada a legislação e a ação fiscalizadora federal e estadual.</w:t>
      </w:r>
    </w:p>
    <w:p w:rsidR="00AE7283" w:rsidRPr="00014476" w:rsidRDefault="00AE7283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E4357" w:rsidRPr="00014476" w:rsidRDefault="007D3A16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A </w:t>
      </w:r>
      <w:r w:rsidR="00B31AD1" w:rsidRPr="00014476">
        <w:rPr>
          <w:rFonts w:ascii="Palatino Linotype" w:hAnsi="Palatino Linotype"/>
          <w:sz w:val="24"/>
          <w:szCs w:val="24"/>
        </w:rPr>
        <w:t>disposições normativas</w:t>
      </w:r>
      <w:r w:rsidRPr="00014476">
        <w:rPr>
          <w:rFonts w:ascii="Palatino Linotype" w:hAnsi="Palatino Linotype"/>
          <w:sz w:val="24"/>
          <w:szCs w:val="24"/>
        </w:rPr>
        <w:t xml:space="preserve"> </w:t>
      </w:r>
      <w:r w:rsidR="00EB6550" w:rsidRPr="00014476">
        <w:rPr>
          <w:rFonts w:ascii="Palatino Linotype" w:hAnsi="Palatino Linotype"/>
          <w:sz w:val="24"/>
          <w:szCs w:val="24"/>
        </w:rPr>
        <w:t>trazida</w:t>
      </w:r>
      <w:r w:rsidR="00B31AD1" w:rsidRPr="00014476">
        <w:rPr>
          <w:rFonts w:ascii="Palatino Linotype" w:hAnsi="Palatino Linotype"/>
          <w:sz w:val="24"/>
          <w:szCs w:val="24"/>
        </w:rPr>
        <w:t>s</w:t>
      </w:r>
      <w:r w:rsidR="00EB6550" w:rsidRPr="00014476">
        <w:rPr>
          <w:rFonts w:ascii="Palatino Linotype" w:hAnsi="Palatino Linotype"/>
          <w:sz w:val="24"/>
          <w:szCs w:val="24"/>
        </w:rPr>
        <w:t xml:space="preserve"> na proposta se insere</w:t>
      </w:r>
      <w:r w:rsidR="00B31AD1" w:rsidRPr="00014476">
        <w:rPr>
          <w:rFonts w:ascii="Palatino Linotype" w:hAnsi="Palatino Linotype"/>
          <w:sz w:val="24"/>
          <w:szCs w:val="24"/>
        </w:rPr>
        <w:t>m</w:t>
      </w:r>
      <w:r w:rsidR="00B6284D" w:rsidRPr="00014476">
        <w:rPr>
          <w:rFonts w:ascii="Palatino Linotype" w:hAnsi="Palatino Linotype"/>
          <w:sz w:val="24"/>
          <w:szCs w:val="24"/>
        </w:rPr>
        <w:t xml:space="preserve"> </w:t>
      </w:r>
      <w:r w:rsidR="00EB6550" w:rsidRPr="00014476">
        <w:rPr>
          <w:rFonts w:ascii="Palatino Linotype" w:hAnsi="Palatino Linotype"/>
          <w:sz w:val="24"/>
          <w:szCs w:val="24"/>
        </w:rPr>
        <w:t>na defin</w:t>
      </w:r>
      <w:r w:rsidR="00EB6550" w:rsidRPr="00014476">
        <w:rPr>
          <w:rFonts w:ascii="Palatino Linotype" w:hAnsi="Palatino Linotype"/>
          <w:sz w:val="24"/>
          <w:szCs w:val="24"/>
        </w:rPr>
        <w:t>i</w:t>
      </w:r>
      <w:r w:rsidR="00EB6550" w:rsidRPr="00014476">
        <w:rPr>
          <w:rFonts w:ascii="Palatino Linotype" w:hAnsi="Palatino Linotype"/>
          <w:sz w:val="24"/>
          <w:szCs w:val="24"/>
        </w:rPr>
        <w:t xml:space="preserve">ção de interesse local. Isso porque o Projeto de Lei nº </w:t>
      </w:r>
      <w:r w:rsidR="00C21195" w:rsidRPr="00014476">
        <w:rPr>
          <w:rFonts w:ascii="Palatino Linotype" w:hAnsi="Palatino Linotype"/>
          <w:sz w:val="24"/>
          <w:szCs w:val="24"/>
        </w:rPr>
        <w:t>0</w:t>
      </w:r>
      <w:r w:rsidR="00076D85">
        <w:rPr>
          <w:rFonts w:ascii="Palatino Linotype" w:hAnsi="Palatino Linotype"/>
          <w:sz w:val="24"/>
          <w:szCs w:val="24"/>
        </w:rPr>
        <w:t>81</w:t>
      </w:r>
      <w:r w:rsidR="00EB6550" w:rsidRPr="00014476">
        <w:rPr>
          <w:rFonts w:ascii="Palatino Linotype" w:hAnsi="Palatino Linotype"/>
          <w:sz w:val="24"/>
          <w:szCs w:val="24"/>
        </w:rPr>
        <w:t>/20</w:t>
      </w:r>
      <w:r w:rsidR="00154A45" w:rsidRPr="00014476">
        <w:rPr>
          <w:rFonts w:ascii="Palatino Linotype" w:hAnsi="Palatino Linotype"/>
          <w:sz w:val="24"/>
          <w:szCs w:val="24"/>
        </w:rPr>
        <w:t>2</w:t>
      </w:r>
      <w:r w:rsidR="00D967B1">
        <w:rPr>
          <w:rFonts w:ascii="Palatino Linotype" w:hAnsi="Palatino Linotype"/>
          <w:sz w:val="24"/>
          <w:szCs w:val="24"/>
        </w:rPr>
        <w:t>3</w:t>
      </w:r>
      <w:r w:rsidR="00EB6550" w:rsidRPr="00014476">
        <w:rPr>
          <w:rFonts w:ascii="Palatino Linotype" w:hAnsi="Palatino Linotype"/>
          <w:sz w:val="24"/>
          <w:szCs w:val="24"/>
        </w:rPr>
        <w:t xml:space="preserve">, além de veicular </w:t>
      </w:r>
      <w:r w:rsidR="00EB6550" w:rsidRPr="00014476">
        <w:rPr>
          <w:rFonts w:ascii="Palatino Linotype" w:hAnsi="Palatino Linotype"/>
          <w:sz w:val="24"/>
          <w:szCs w:val="24"/>
        </w:rPr>
        <w:lastRenderedPageBreak/>
        <w:t>matéria de relevância para o Município, não atrelada às competências privat</w:t>
      </w:r>
      <w:r w:rsidR="00EB6550" w:rsidRPr="00014476">
        <w:rPr>
          <w:rFonts w:ascii="Palatino Linotype" w:hAnsi="Palatino Linotype"/>
          <w:sz w:val="24"/>
          <w:szCs w:val="24"/>
        </w:rPr>
        <w:t>i</w:t>
      </w:r>
      <w:r w:rsidR="00EB6550" w:rsidRPr="00014476">
        <w:rPr>
          <w:rFonts w:ascii="Palatino Linotype" w:hAnsi="Palatino Linotype"/>
          <w:sz w:val="24"/>
          <w:szCs w:val="24"/>
        </w:rPr>
        <w:t xml:space="preserve">vas da União (CF, art. 22), </w:t>
      </w:r>
      <w:r w:rsidR="00D70850" w:rsidRPr="00014476">
        <w:rPr>
          <w:rFonts w:ascii="Palatino Linotype" w:hAnsi="Palatino Linotype"/>
          <w:sz w:val="24"/>
          <w:szCs w:val="24"/>
        </w:rPr>
        <w:t>estabelece meio</w:t>
      </w:r>
      <w:r w:rsidR="000968E4">
        <w:rPr>
          <w:rFonts w:ascii="Palatino Linotype" w:hAnsi="Palatino Linotype"/>
          <w:sz w:val="24"/>
          <w:szCs w:val="24"/>
        </w:rPr>
        <w:t>s</w:t>
      </w:r>
      <w:r w:rsidR="00D70850" w:rsidRPr="00014476">
        <w:rPr>
          <w:rFonts w:ascii="Palatino Linotype" w:hAnsi="Palatino Linotype"/>
          <w:sz w:val="24"/>
          <w:szCs w:val="24"/>
        </w:rPr>
        <w:t xml:space="preserve"> de </w:t>
      </w:r>
      <w:r w:rsidR="000968E4">
        <w:rPr>
          <w:rFonts w:ascii="Palatino Linotype" w:hAnsi="Palatino Linotype"/>
          <w:sz w:val="24"/>
          <w:szCs w:val="24"/>
        </w:rPr>
        <w:t xml:space="preserve">garantir e promover o direito à </w:t>
      </w:r>
      <w:r w:rsidR="00076D85">
        <w:rPr>
          <w:rFonts w:ascii="Palatino Linotype" w:hAnsi="Palatino Linotype"/>
          <w:sz w:val="24"/>
          <w:szCs w:val="24"/>
        </w:rPr>
        <w:t>saúde e à segurança dos usuários de serviços</w:t>
      </w:r>
      <w:r w:rsidR="0018794E">
        <w:rPr>
          <w:rFonts w:ascii="Palatino Linotype" w:hAnsi="Palatino Linotype"/>
          <w:sz w:val="24"/>
          <w:szCs w:val="24"/>
        </w:rPr>
        <w:t xml:space="preserve"> e equipamentos</w:t>
      </w:r>
      <w:r w:rsidR="00B31AD1" w:rsidRPr="00014476">
        <w:rPr>
          <w:rFonts w:ascii="Palatino Linotype" w:hAnsi="Palatino Linotype"/>
          <w:sz w:val="24"/>
          <w:szCs w:val="24"/>
        </w:rPr>
        <w:t xml:space="preserve">, </w:t>
      </w:r>
      <w:r w:rsidR="00D70850" w:rsidRPr="00014476">
        <w:rPr>
          <w:rFonts w:ascii="Palatino Linotype" w:hAnsi="Palatino Linotype"/>
          <w:sz w:val="24"/>
          <w:szCs w:val="24"/>
        </w:rPr>
        <w:t>o que se enco</w:t>
      </w:r>
      <w:r w:rsidR="00D70850" w:rsidRPr="00014476">
        <w:rPr>
          <w:rFonts w:ascii="Palatino Linotype" w:hAnsi="Palatino Linotype"/>
          <w:sz w:val="24"/>
          <w:szCs w:val="24"/>
        </w:rPr>
        <w:t>n</w:t>
      </w:r>
      <w:r w:rsidR="00D70850" w:rsidRPr="00014476">
        <w:rPr>
          <w:rFonts w:ascii="Palatino Linotype" w:hAnsi="Palatino Linotype"/>
          <w:sz w:val="24"/>
          <w:szCs w:val="24"/>
        </w:rPr>
        <w:t>tra no âmbito do dever de todos os e</w:t>
      </w:r>
      <w:r w:rsidR="00D70850" w:rsidRPr="00014476">
        <w:rPr>
          <w:rFonts w:ascii="Palatino Linotype" w:hAnsi="Palatino Linotype"/>
          <w:sz w:val="24"/>
          <w:szCs w:val="24"/>
        </w:rPr>
        <w:t>n</w:t>
      </w:r>
      <w:r w:rsidR="00D70850" w:rsidRPr="00014476">
        <w:rPr>
          <w:rFonts w:ascii="Palatino Linotype" w:hAnsi="Palatino Linotype"/>
          <w:sz w:val="24"/>
          <w:szCs w:val="24"/>
        </w:rPr>
        <w:t>tes federados.</w:t>
      </w:r>
    </w:p>
    <w:p w:rsidR="007D3A16" w:rsidRPr="00014476" w:rsidRDefault="007D3A16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6284D" w:rsidRPr="00014476" w:rsidRDefault="003B745D" w:rsidP="006E435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Além disso</w:t>
      </w:r>
      <w:r w:rsidR="00B6284D" w:rsidRPr="00014476">
        <w:rPr>
          <w:rFonts w:ascii="Palatino Linotype" w:hAnsi="Palatino Linotype"/>
          <w:sz w:val="24"/>
          <w:szCs w:val="24"/>
        </w:rPr>
        <w:t>, a CE/RS, no artigo 13, I, já estabelece um rol de comp</w:t>
      </w:r>
      <w:r w:rsidR="00B6284D" w:rsidRPr="00014476">
        <w:rPr>
          <w:rFonts w:ascii="Palatino Linotype" w:hAnsi="Palatino Linotype"/>
          <w:sz w:val="24"/>
          <w:szCs w:val="24"/>
        </w:rPr>
        <w:t>e</w:t>
      </w:r>
      <w:r w:rsidR="00B6284D" w:rsidRPr="00014476">
        <w:rPr>
          <w:rFonts w:ascii="Palatino Linotype" w:hAnsi="Palatino Linotype"/>
          <w:sz w:val="24"/>
          <w:szCs w:val="24"/>
        </w:rPr>
        <w:t xml:space="preserve">tências deferidas aos Municípios, entre as quais está a de “exercer </w:t>
      </w:r>
      <w:r w:rsidR="00B6284D" w:rsidRPr="009D54C8">
        <w:rPr>
          <w:rFonts w:ascii="Palatino Linotype" w:hAnsi="Palatino Linotype"/>
          <w:b/>
          <w:sz w:val="24"/>
          <w:szCs w:val="24"/>
          <w:u w:val="single"/>
        </w:rPr>
        <w:t>o poder de polícia administrativa nas matérias de interesse local</w:t>
      </w:r>
      <w:r w:rsidR="00B6284D" w:rsidRPr="00014476">
        <w:rPr>
          <w:rFonts w:ascii="Palatino Linotype" w:hAnsi="Palatino Linotype"/>
          <w:sz w:val="24"/>
          <w:szCs w:val="24"/>
        </w:rPr>
        <w:t xml:space="preserve">, </w:t>
      </w:r>
      <w:r w:rsidR="00B6284D" w:rsidRPr="00E1314F">
        <w:rPr>
          <w:rFonts w:ascii="Palatino Linotype" w:hAnsi="Palatino Linotype"/>
          <w:b/>
          <w:sz w:val="24"/>
          <w:szCs w:val="24"/>
        </w:rPr>
        <w:t>tais como proteção à saúde</w:t>
      </w:r>
      <w:r w:rsidR="00B6284D" w:rsidRPr="00014476">
        <w:rPr>
          <w:rFonts w:ascii="Palatino Linotype" w:hAnsi="Palatino Linotype"/>
          <w:sz w:val="24"/>
          <w:szCs w:val="24"/>
        </w:rPr>
        <w:t xml:space="preserve">, aí incluídas a vigilância e a fiscalização sanitárias, e proteção ao meio-ambiente, ao sossego, à higiene e </w:t>
      </w:r>
      <w:r w:rsidR="00B6284D" w:rsidRPr="007C750C">
        <w:rPr>
          <w:rFonts w:ascii="Palatino Linotype" w:hAnsi="Palatino Linotype"/>
          <w:b/>
          <w:sz w:val="24"/>
          <w:szCs w:val="24"/>
        </w:rPr>
        <w:t>à funcionalidade</w:t>
      </w:r>
      <w:r w:rsidR="00B6284D" w:rsidRPr="00014476">
        <w:rPr>
          <w:rFonts w:ascii="Palatino Linotype" w:hAnsi="Palatino Linotype"/>
          <w:sz w:val="24"/>
          <w:szCs w:val="24"/>
        </w:rPr>
        <w:t xml:space="preserve">, bem como dispor sobre as penalidades por infração às leis e regulamentos locais.” </w:t>
      </w:r>
      <w:r w:rsidR="00C21195" w:rsidRPr="00014476">
        <w:rPr>
          <w:rFonts w:ascii="Palatino Linotype" w:hAnsi="Palatino Linotype"/>
          <w:sz w:val="24"/>
          <w:szCs w:val="24"/>
        </w:rPr>
        <w:t xml:space="preserve">No presente caso, a </w:t>
      </w:r>
      <w:r w:rsidR="00B6284D" w:rsidRPr="00014476">
        <w:rPr>
          <w:rFonts w:ascii="Palatino Linotype" w:hAnsi="Palatino Linotype"/>
          <w:sz w:val="24"/>
          <w:szCs w:val="24"/>
        </w:rPr>
        <w:t>medida está inserida no âmbito das posturas municipais, cuja competência para definição é do Município.</w:t>
      </w:r>
    </w:p>
    <w:p w:rsidR="00B31AD1" w:rsidRPr="00014476" w:rsidRDefault="00B31AD1" w:rsidP="006E435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31AD1" w:rsidRPr="00014476" w:rsidRDefault="00B31AD1" w:rsidP="006E435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O art. 78 do Código Tributário Nacional conceitua o poder de polícia atividade da administração pública como aquele que limita ou disciplina dire</w:t>
      </w:r>
      <w:r w:rsidRPr="00014476">
        <w:rPr>
          <w:rFonts w:ascii="Palatino Linotype" w:hAnsi="Palatino Linotype"/>
          <w:sz w:val="24"/>
          <w:szCs w:val="24"/>
        </w:rPr>
        <w:t>i</w:t>
      </w:r>
      <w:r w:rsidRPr="00014476">
        <w:rPr>
          <w:rFonts w:ascii="Palatino Linotype" w:hAnsi="Palatino Linotype"/>
          <w:sz w:val="24"/>
          <w:szCs w:val="24"/>
        </w:rPr>
        <w:t xml:space="preserve">to, interesse ou liberdade, regula a prática de ato ou abstenção de fato, em razão de interesse público concernente à segurança, à higiene, à ordem, aos costumes, à disciplina da produção e do mercado, ao exercício de atividades econômicas dependentes de concessão ou autorização do Poder Público, à tranquilidade pública ou </w:t>
      </w:r>
      <w:r w:rsidRPr="009D54C8">
        <w:rPr>
          <w:rFonts w:ascii="Palatino Linotype" w:hAnsi="Palatino Linotype"/>
          <w:b/>
          <w:sz w:val="24"/>
          <w:szCs w:val="24"/>
          <w:u w:val="single"/>
        </w:rPr>
        <w:t>ao respeito</w:t>
      </w:r>
      <w:r w:rsidRPr="00014476">
        <w:rPr>
          <w:rFonts w:ascii="Palatino Linotype" w:hAnsi="Palatino Linotype"/>
          <w:sz w:val="24"/>
          <w:szCs w:val="24"/>
        </w:rPr>
        <w:t xml:space="preserve"> à propriedade e </w:t>
      </w:r>
      <w:r w:rsidRPr="009D54C8">
        <w:rPr>
          <w:rFonts w:ascii="Palatino Linotype" w:hAnsi="Palatino Linotype"/>
          <w:b/>
          <w:sz w:val="24"/>
          <w:szCs w:val="24"/>
          <w:u w:val="single"/>
        </w:rPr>
        <w:t>aos direitos individuais ou coletivos</w:t>
      </w:r>
      <w:r w:rsidRPr="00014476">
        <w:rPr>
          <w:rFonts w:ascii="Palatino Linotype" w:hAnsi="Palatino Linotype"/>
          <w:sz w:val="24"/>
          <w:szCs w:val="24"/>
        </w:rPr>
        <w:t>.</w:t>
      </w:r>
    </w:p>
    <w:p w:rsidR="00D70850" w:rsidRPr="00014476" w:rsidRDefault="00D70850" w:rsidP="006E435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6284D" w:rsidRPr="00014476" w:rsidRDefault="00B6284D" w:rsidP="00B6284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No que diz respeito à iniciativa para deflagrar o processo legislativo, mais relevante ainda é a observância das normas previstas na Constituição E</w:t>
      </w:r>
      <w:r w:rsidRPr="00014476">
        <w:rPr>
          <w:rFonts w:ascii="Palatino Linotype" w:hAnsi="Palatino Linotype"/>
          <w:sz w:val="24"/>
          <w:szCs w:val="24"/>
        </w:rPr>
        <w:t>s</w:t>
      </w:r>
      <w:r w:rsidRPr="00014476">
        <w:rPr>
          <w:rFonts w:ascii="Palatino Linotype" w:hAnsi="Palatino Linotype"/>
          <w:sz w:val="24"/>
          <w:szCs w:val="24"/>
        </w:rPr>
        <w:t>tadual, uma vez que, em caso de eventual controle de constitucionalidade, o parâmetro para a análise da conformidade vertical se dá em relação ao disposto na Constituição Gaúcha, conforme pre</w:t>
      </w:r>
      <w:r w:rsidR="00D70850" w:rsidRPr="00014476">
        <w:rPr>
          <w:rFonts w:ascii="Palatino Linotype" w:hAnsi="Palatino Linotype"/>
          <w:sz w:val="24"/>
          <w:szCs w:val="24"/>
        </w:rPr>
        <w:t>veem</w:t>
      </w:r>
      <w:r w:rsidRPr="00014476">
        <w:rPr>
          <w:rFonts w:ascii="Palatino Linotype" w:hAnsi="Palatino Linotype"/>
          <w:sz w:val="24"/>
          <w:szCs w:val="24"/>
        </w:rPr>
        <w:t xml:space="preserve"> o artigo 125, § 2º, da CF</w:t>
      </w:r>
      <w:r w:rsidR="00D70850" w:rsidRPr="00014476">
        <w:rPr>
          <w:rFonts w:ascii="Palatino Linotype" w:hAnsi="Palatino Linotype"/>
          <w:sz w:val="24"/>
          <w:szCs w:val="24"/>
        </w:rPr>
        <w:t>/88</w:t>
      </w:r>
      <w:r w:rsidRPr="00014476">
        <w:rPr>
          <w:rFonts w:ascii="Palatino Linotype" w:hAnsi="Palatino Linotype"/>
          <w:sz w:val="24"/>
          <w:szCs w:val="24"/>
        </w:rPr>
        <w:t xml:space="preserve"> e</w:t>
      </w:r>
      <w:r w:rsidR="00D70850" w:rsidRPr="00014476">
        <w:rPr>
          <w:rFonts w:ascii="Palatino Linotype" w:hAnsi="Palatino Linotype"/>
          <w:sz w:val="24"/>
          <w:szCs w:val="24"/>
        </w:rPr>
        <w:t xml:space="preserve"> o</w:t>
      </w:r>
      <w:r w:rsidRPr="00014476">
        <w:rPr>
          <w:rFonts w:ascii="Palatino Linotype" w:hAnsi="Palatino Linotype"/>
          <w:sz w:val="24"/>
          <w:szCs w:val="24"/>
        </w:rPr>
        <w:t xml:space="preserve"> art</w:t>
      </w:r>
      <w:r w:rsidRPr="00014476">
        <w:rPr>
          <w:rFonts w:ascii="Palatino Linotype" w:hAnsi="Palatino Linotype"/>
          <w:sz w:val="24"/>
          <w:szCs w:val="24"/>
        </w:rPr>
        <w:t>i</w:t>
      </w:r>
      <w:r w:rsidRPr="00014476">
        <w:rPr>
          <w:rFonts w:ascii="Palatino Linotype" w:hAnsi="Palatino Linotype"/>
          <w:sz w:val="24"/>
          <w:szCs w:val="24"/>
        </w:rPr>
        <w:lastRenderedPageBreak/>
        <w:t>go 95, XII, alínea “d”, da CE</w:t>
      </w:r>
      <w:r w:rsidR="00D70850" w:rsidRPr="00014476">
        <w:rPr>
          <w:rFonts w:ascii="Palatino Linotype" w:hAnsi="Palatino Linotype"/>
          <w:sz w:val="24"/>
          <w:szCs w:val="24"/>
        </w:rPr>
        <w:t>/RS</w:t>
      </w:r>
      <w:r w:rsidRPr="00014476">
        <w:rPr>
          <w:rFonts w:ascii="Palatino Linotype" w:hAnsi="Palatino Linotype"/>
          <w:sz w:val="24"/>
          <w:szCs w:val="24"/>
        </w:rPr>
        <w:t>. Apenas excepcionalmente o parâmetro da constitucionalidade será a Constituição Federal, desde que se trate de normas constitucionais de reprodução obrigatória (STF, RE nº 650.898/RS). Nesse caso, refere o artigo 60 da Constituição Estadual:</w:t>
      </w:r>
    </w:p>
    <w:p w:rsidR="00B6284D" w:rsidRPr="00014476" w:rsidRDefault="00B6284D" w:rsidP="00B6284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Art. 60.  São de iniciativa privativa do Governador do Estado as leis que:</w:t>
      </w: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I - fixem ou modifiquem os efetivos da Brigada Militar e do Corpo de Bombeiros Militar; (Redação dada pela Emenda Con</w:t>
      </w:r>
      <w:r w:rsidRPr="00014476">
        <w:rPr>
          <w:rFonts w:ascii="Palatino Linotype" w:hAnsi="Palatino Linotype"/>
          <w:szCs w:val="20"/>
        </w:rPr>
        <w:t>s</w:t>
      </w:r>
      <w:r w:rsidRPr="00014476">
        <w:rPr>
          <w:rFonts w:ascii="Palatino Linotype" w:hAnsi="Palatino Linotype"/>
          <w:szCs w:val="20"/>
        </w:rPr>
        <w:t>titucional n.º 67, de 17/06/14)</w:t>
      </w: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II - disponham sobre:</w:t>
      </w: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a) criação e aumento da remuneração de cargos, funções ou empregos públicos na administração direta ou autárquica;</w:t>
      </w: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b) servidores públicos do Estado, seu regime jurídico, prov</w:t>
      </w:r>
      <w:r w:rsidRPr="00014476">
        <w:rPr>
          <w:rFonts w:ascii="Palatino Linotype" w:hAnsi="Palatino Linotype"/>
          <w:szCs w:val="20"/>
        </w:rPr>
        <w:t>i</w:t>
      </w:r>
      <w:r w:rsidRPr="00014476">
        <w:rPr>
          <w:rFonts w:ascii="Palatino Linotype" w:hAnsi="Palatino Linotype"/>
          <w:szCs w:val="20"/>
        </w:rPr>
        <w:t>mento de cargos, estabilidade e aposentadoria de civis, e refo</w:t>
      </w:r>
      <w:r w:rsidRPr="00014476">
        <w:rPr>
          <w:rFonts w:ascii="Palatino Linotype" w:hAnsi="Palatino Linotype"/>
          <w:szCs w:val="20"/>
        </w:rPr>
        <w:t>r</w:t>
      </w:r>
      <w:r w:rsidRPr="00014476">
        <w:rPr>
          <w:rFonts w:ascii="Palatino Linotype" w:hAnsi="Palatino Linotype"/>
          <w:szCs w:val="20"/>
        </w:rPr>
        <w:t>ma ou transferência de militares para a inatividade;</w:t>
      </w: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c) organização da Defensoria Pública do Estado;</w:t>
      </w:r>
    </w:p>
    <w:p w:rsidR="00B6284D" w:rsidRPr="00014476" w:rsidRDefault="00B6284D" w:rsidP="00B6284D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014476">
        <w:rPr>
          <w:rFonts w:ascii="Palatino Linotype" w:hAnsi="Palatino Linotype"/>
          <w:szCs w:val="20"/>
        </w:rPr>
        <w:t>d) criação, estruturação e atribuições das Secretarias e órgãos da administração pública.</w:t>
      </w:r>
    </w:p>
    <w:p w:rsidR="00B6284D" w:rsidRPr="00014476" w:rsidRDefault="00B6284D" w:rsidP="00B6284D">
      <w:pPr>
        <w:spacing w:after="0" w:line="360" w:lineRule="auto"/>
        <w:ind w:firstLine="1134"/>
        <w:jc w:val="both"/>
        <w:rPr>
          <w:rFonts w:ascii="Palatino Linotype" w:hAnsi="Palatino Linotype"/>
          <w:sz w:val="28"/>
          <w:szCs w:val="24"/>
        </w:rPr>
      </w:pPr>
    </w:p>
    <w:p w:rsidR="00B6284D" w:rsidRPr="00014476" w:rsidRDefault="00B6284D" w:rsidP="006E435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Verifica-se, no caso, que não há qualquer limitação constitucional à propositura de projeto de lei por </w:t>
      </w:r>
      <w:r w:rsidR="009D54C8">
        <w:rPr>
          <w:rFonts w:ascii="Palatino Linotype" w:hAnsi="Palatino Linotype"/>
          <w:sz w:val="24"/>
          <w:szCs w:val="24"/>
        </w:rPr>
        <w:t>V</w:t>
      </w:r>
      <w:r w:rsidRPr="00014476">
        <w:rPr>
          <w:rFonts w:ascii="Palatino Linotype" w:hAnsi="Palatino Linotype"/>
          <w:sz w:val="24"/>
          <w:szCs w:val="24"/>
        </w:rPr>
        <w:t>ereador versando sobre a matéria, tendo em vista que os dispositivos constitucionais não estabelecem a reserva de iniciativa para o tema tratado.</w:t>
      </w:r>
    </w:p>
    <w:p w:rsidR="00B6284D" w:rsidRPr="00014476" w:rsidRDefault="00B6284D" w:rsidP="006E435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72288" w:rsidRPr="00014476" w:rsidRDefault="002E6A65" w:rsidP="00DB4D3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Quanto à matéria de fundo, </w:t>
      </w:r>
      <w:r w:rsidR="00FF1F37" w:rsidRPr="00014476">
        <w:rPr>
          <w:rFonts w:ascii="Palatino Linotype" w:hAnsi="Palatino Linotype"/>
          <w:sz w:val="24"/>
          <w:szCs w:val="24"/>
        </w:rPr>
        <w:t xml:space="preserve">também </w:t>
      </w:r>
      <w:r w:rsidRPr="00014476">
        <w:rPr>
          <w:rFonts w:ascii="Palatino Linotype" w:hAnsi="Palatino Linotype"/>
          <w:sz w:val="24"/>
          <w:szCs w:val="24"/>
        </w:rPr>
        <w:t>não há qualquer óbice à propo</w:t>
      </w:r>
      <w:r w:rsidRPr="00014476">
        <w:rPr>
          <w:rFonts w:ascii="Palatino Linotype" w:hAnsi="Palatino Linotype"/>
          <w:sz w:val="24"/>
          <w:szCs w:val="24"/>
        </w:rPr>
        <w:t>s</w:t>
      </w:r>
      <w:r w:rsidRPr="00014476">
        <w:rPr>
          <w:rFonts w:ascii="Palatino Linotype" w:hAnsi="Palatino Linotype"/>
          <w:sz w:val="24"/>
          <w:szCs w:val="24"/>
        </w:rPr>
        <w:t xml:space="preserve">ta. </w:t>
      </w:r>
      <w:r w:rsidR="00FF1F37" w:rsidRPr="00014476">
        <w:rPr>
          <w:rFonts w:ascii="Palatino Linotype" w:hAnsi="Palatino Linotype"/>
          <w:sz w:val="24"/>
          <w:szCs w:val="24"/>
        </w:rPr>
        <w:t xml:space="preserve">Convém lembrar que o objetivo primordial do Projeto de Lei nº </w:t>
      </w:r>
      <w:r w:rsidR="00C21195" w:rsidRPr="00014476">
        <w:rPr>
          <w:rFonts w:ascii="Palatino Linotype" w:hAnsi="Palatino Linotype"/>
          <w:sz w:val="24"/>
          <w:szCs w:val="24"/>
        </w:rPr>
        <w:t>0</w:t>
      </w:r>
      <w:r w:rsidR="00036900">
        <w:rPr>
          <w:rFonts w:ascii="Palatino Linotype" w:hAnsi="Palatino Linotype"/>
          <w:sz w:val="24"/>
          <w:szCs w:val="24"/>
        </w:rPr>
        <w:t>81</w:t>
      </w:r>
      <w:r w:rsidR="00FF1F37" w:rsidRPr="00014476">
        <w:rPr>
          <w:rFonts w:ascii="Palatino Linotype" w:hAnsi="Palatino Linotype"/>
          <w:sz w:val="24"/>
          <w:szCs w:val="24"/>
        </w:rPr>
        <w:t>/20</w:t>
      </w:r>
      <w:r w:rsidR="00154A45" w:rsidRPr="00014476">
        <w:rPr>
          <w:rFonts w:ascii="Palatino Linotype" w:hAnsi="Palatino Linotype"/>
          <w:sz w:val="24"/>
          <w:szCs w:val="24"/>
        </w:rPr>
        <w:t>2</w:t>
      </w:r>
      <w:r w:rsidR="00D967B1">
        <w:rPr>
          <w:rFonts w:ascii="Palatino Linotype" w:hAnsi="Palatino Linotype"/>
          <w:sz w:val="24"/>
          <w:szCs w:val="24"/>
        </w:rPr>
        <w:t>3</w:t>
      </w:r>
      <w:r w:rsidR="00FF1F37" w:rsidRPr="00014476">
        <w:rPr>
          <w:rFonts w:ascii="Palatino Linotype" w:hAnsi="Palatino Linotype"/>
          <w:sz w:val="24"/>
          <w:szCs w:val="24"/>
        </w:rPr>
        <w:t xml:space="preserve"> é </w:t>
      </w:r>
      <w:r w:rsidR="007F3B67" w:rsidRPr="00014476">
        <w:rPr>
          <w:rFonts w:ascii="Palatino Linotype" w:hAnsi="Palatino Linotype"/>
          <w:sz w:val="24"/>
          <w:szCs w:val="24"/>
        </w:rPr>
        <w:t>determinar</w:t>
      </w:r>
      <w:r w:rsidR="00B6284D" w:rsidRPr="00014476">
        <w:rPr>
          <w:rFonts w:ascii="Palatino Linotype" w:hAnsi="Palatino Linotype"/>
          <w:sz w:val="24"/>
          <w:szCs w:val="24"/>
        </w:rPr>
        <w:t xml:space="preserve">, através da legislação local, </w:t>
      </w:r>
      <w:r w:rsidR="007F3B67" w:rsidRPr="00014476">
        <w:rPr>
          <w:rFonts w:ascii="Palatino Linotype" w:hAnsi="Palatino Linotype"/>
          <w:sz w:val="24"/>
          <w:szCs w:val="24"/>
        </w:rPr>
        <w:t>medida</w:t>
      </w:r>
      <w:r w:rsidR="00B2124F">
        <w:rPr>
          <w:rFonts w:ascii="Palatino Linotype" w:hAnsi="Palatino Linotype"/>
          <w:sz w:val="24"/>
          <w:szCs w:val="24"/>
        </w:rPr>
        <w:t>s</w:t>
      </w:r>
      <w:r w:rsidR="007F3B67" w:rsidRPr="00014476">
        <w:rPr>
          <w:rFonts w:ascii="Palatino Linotype" w:hAnsi="Palatino Linotype"/>
          <w:sz w:val="24"/>
          <w:szCs w:val="24"/>
        </w:rPr>
        <w:t xml:space="preserve"> voltada</w:t>
      </w:r>
      <w:r w:rsidR="00B2124F">
        <w:rPr>
          <w:rFonts w:ascii="Palatino Linotype" w:hAnsi="Palatino Linotype"/>
          <w:sz w:val="24"/>
          <w:szCs w:val="24"/>
        </w:rPr>
        <w:t>s</w:t>
      </w:r>
      <w:r w:rsidR="007F3B67" w:rsidRPr="00014476">
        <w:rPr>
          <w:rFonts w:ascii="Palatino Linotype" w:hAnsi="Palatino Linotype"/>
          <w:sz w:val="24"/>
          <w:szCs w:val="24"/>
        </w:rPr>
        <w:t xml:space="preserve"> à melhoria das cond</w:t>
      </w:r>
      <w:r w:rsidR="007F3B67" w:rsidRPr="00014476">
        <w:rPr>
          <w:rFonts w:ascii="Palatino Linotype" w:hAnsi="Palatino Linotype"/>
          <w:sz w:val="24"/>
          <w:szCs w:val="24"/>
        </w:rPr>
        <w:t>i</w:t>
      </w:r>
      <w:r w:rsidR="007F3B67" w:rsidRPr="00014476">
        <w:rPr>
          <w:rFonts w:ascii="Palatino Linotype" w:hAnsi="Palatino Linotype"/>
          <w:sz w:val="24"/>
          <w:szCs w:val="24"/>
        </w:rPr>
        <w:t xml:space="preserve">ções </w:t>
      </w:r>
      <w:r w:rsidR="00036900">
        <w:rPr>
          <w:rFonts w:ascii="Palatino Linotype" w:hAnsi="Palatino Linotype"/>
          <w:sz w:val="24"/>
          <w:szCs w:val="24"/>
        </w:rPr>
        <w:t>segurança</w:t>
      </w:r>
      <w:r w:rsidR="007F3B67" w:rsidRPr="00014476">
        <w:rPr>
          <w:rFonts w:ascii="Palatino Linotype" w:hAnsi="Palatino Linotype"/>
          <w:sz w:val="24"/>
          <w:szCs w:val="24"/>
        </w:rPr>
        <w:t xml:space="preserve"> dos frequentadores dos estabelecimentos que </w:t>
      </w:r>
      <w:r w:rsidR="00036900">
        <w:rPr>
          <w:rFonts w:ascii="Palatino Linotype" w:hAnsi="Palatino Linotype"/>
          <w:sz w:val="24"/>
          <w:szCs w:val="24"/>
        </w:rPr>
        <w:t>possuem goleiras</w:t>
      </w:r>
      <w:r w:rsidR="00D84117">
        <w:rPr>
          <w:rFonts w:ascii="Palatino Linotype" w:hAnsi="Palatino Linotype"/>
          <w:sz w:val="24"/>
          <w:szCs w:val="24"/>
        </w:rPr>
        <w:t>.</w:t>
      </w:r>
    </w:p>
    <w:p w:rsidR="00D53C61" w:rsidRPr="00014476" w:rsidRDefault="00D53C61" w:rsidP="00DB4D3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B4D33" w:rsidRDefault="00DB4D33" w:rsidP="00DB4D3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Cabe ressaltar que a ordem econômica na Constituição de 1988 def</w:t>
      </w:r>
      <w:r w:rsidRPr="00014476">
        <w:rPr>
          <w:rFonts w:ascii="Palatino Linotype" w:hAnsi="Palatino Linotype"/>
          <w:sz w:val="24"/>
          <w:szCs w:val="24"/>
        </w:rPr>
        <w:t>i</w:t>
      </w:r>
      <w:r w:rsidRPr="00014476">
        <w:rPr>
          <w:rFonts w:ascii="Palatino Linotype" w:hAnsi="Palatino Linotype"/>
          <w:sz w:val="24"/>
          <w:szCs w:val="24"/>
        </w:rPr>
        <w:t>ne uma opção por um sistema no qual joga um papel primordial a livre iniciat</w:t>
      </w:r>
      <w:r w:rsidRPr="00014476">
        <w:rPr>
          <w:rFonts w:ascii="Palatino Linotype" w:hAnsi="Palatino Linotype"/>
          <w:sz w:val="24"/>
          <w:szCs w:val="24"/>
        </w:rPr>
        <w:t>i</w:t>
      </w:r>
      <w:r w:rsidRPr="00014476">
        <w:rPr>
          <w:rFonts w:ascii="Palatino Linotype" w:hAnsi="Palatino Linotype"/>
          <w:sz w:val="24"/>
          <w:szCs w:val="24"/>
        </w:rPr>
        <w:lastRenderedPageBreak/>
        <w:t xml:space="preserve">va, mas essa circunstância não legitima a assertiva de que o Estado só intervirá na economia em situações excepcionais. </w:t>
      </w:r>
      <w:r w:rsidRPr="00014476">
        <w:rPr>
          <w:rFonts w:ascii="Palatino Linotype" w:hAnsi="Palatino Linotype"/>
          <w:b/>
          <w:sz w:val="24"/>
          <w:szCs w:val="24"/>
          <w:u w:val="single"/>
        </w:rPr>
        <w:t>O que se deve levar em conta é a ha</w:t>
      </w:r>
      <w:r w:rsidRPr="00014476">
        <w:rPr>
          <w:rFonts w:ascii="Palatino Linotype" w:hAnsi="Palatino Linotype"/>
          <w:b/>
          <w:sz w:val="24"/>
          <w:szCs w:val="24"/>
          <w:u w:val="single"/>
        </w:rPr>
        <w:t>r</w:t>
      </w:r>
      <w:r w:rsidRPr="00014476">
        <w:rPr>
          <w:rFonts w:ascii="Palatino Linotype" w:hAnsi="Palatino Linotype"/>
          <w:b/>
          <w:sz w:val="24"/>
          <w:szCs w:val="24"/>
          <w:u w:val="single"/>
        </w:rPr>
        <w:t>monização dos princípios da livre iniciativa e da razoabilidade das medidas de poder de polícia</w:t>
      </w:r>
      <w:r w:rsidR="00672288" w:rsidRPr="00014476">
        <w:rPr>
          <w:rFonts w:ascii="Palatino Linotype" w:hAnsi="Palatino Linotype"/>
          <w:b/>
          <w:sz w:val="24"/>
          <w:szCs w:val="24"/>
          <w:u w:val="single"/>
        </w:rPr>
        <w:t>, observados os princípios da razoabilidade e da propo</w:t>
      </w:r>
      <w:r w:rsidR="00672288" w:rsidRPr="00014476">
        <w:rPr>
          <w:rFonts w:ascii="Palatino Linotype" w:hAnsi="Palatino Linotype"/>
          <w:b/>
          <w:sz w:val="24"/>
          <w:szCs w:val="24"/>
          <w:u w:val="single"/>
        </w:rPr>
        <w:t>r</w:t>
      </w:r>
      <w:r w:rsidR="00672288" w:rsidRPr="00014476">
        <w:rPr>
          <w:rFonts w:ascii="Palatino Linotype" w:hAnsi="Palatino Linotype"/>
          <w:b/>
          <w:sz w:val="24"/>
          <w:szCs w:val="24"/>
          <w:u w:val="single"/>
        </w:rPr>
        <w:t>cionalidade em relação ao tamanho dos estabelecimentos</w:t>
      </w:r>
      <w:r w:rsidRPr="00014476">
        <w:rPr>
          <w:rFonts w:ascii="Palatino Linotype" w:hAnsi="Palatino Linotype"/>
          <w:sz w:val="24"/>
          <w:szCs w:val="24"/>
        </w:rPr>
        <w:t>.</w:t>
      </w:r>
    </w:p>
    <w:p w:rsidR="00995BCD" w:rsidRDefault="00995BCD" w:rsidP="00DB4D3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95BCD" w:rsidRDefault="00995BCD" w:rsidP="00DB4D3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Precedente do Tribunal de Justiça do Estado de São Paulo corrobora a constitucionalidade da propositura legislativa em apreço, por ser estipulação de regra geral voltada a particulares:</w:t>
      </w:r>
    </w:p>
    <w:p w:rsidR="00995BCD" w:rsidRDefault="00995BCD" w:rsidP="00DB4D3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F5D61" w:rsidRPr="009F5D61" w:rsidRDefault="009F5D61" w:rsidP="009F5D61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9F5D61">
        <w:rPr>
          <w:rFonts w:ascii="Palatino Linotype" w:hAnsi="Palatino Linotype"/>
          <w:szCs w:val="20"/>
        </w:rPr>
        <w:t>Ementa: AÇÃO DIRETA DE INCONSTITUCIONALIDADE. LEI COMPLEMENTAR Nº. 530/2017, DO MUNICÍPIO DE C</w:t>
      </w:r>
      <w:r w:rsidRPr="009F5D61">
        <w:rPr>
          <w:rFonts w:ascii="Palatino Linotype" w:hAnsi="Palatino Linotype"/>
          <w:szCs w:val="20"/>
        </w:rPr>
        <w:t>A</w:t>
      </w:r>
      <w:r w:rsidRPr="009F5D61">
        <w:rPr>
          <w:rFonts w:ascii="Palatino Linotype" w:hAnsi="Palatino Linotype"/>
          <w:szCs w:val="20"/>
        </w:rPr>
        <w:t>XIAS DO SUL, QUE REGULAMENTA A OBRIGAÇÃO QUE OS PROPRIETÁRIOS OU INQUILINOS POSSUEM DE RE</w:t>
      </w:r>
      <w:r w:rsidRPr="009F5D61">
        <w:rPr>
          <w:rFonts w:ascii="Palatino Linotype" w:hAnsi="Palatino Linotype"/>
          <w:szCs w:val="20"/>
        </w:rPr>
        <w:t>A</w:t>
      </w:r>
      <w:r w:rsidRPr="009F5D61">
        <w:rPr>
          <w:rFonts w:ascii="Palatino Linotype" w:hAnsi="Palatino Linotype"/>
          <w:szCs w:val="20"/>
        </w:rPr>
        <w:t>LIZAR A LIMPEZA E A MANUTENÇÃO DO PASSEIO P</w:t>
      </w:r>
      <w:r w:rsidRPr="009F5D61">
        <w:rPr>
          <w:rFonts w:ascii="Palatino Linotype" w:hAnsi="Palatino Linotype"/>
          <w:szCs w:val="20"/>
        </w:rPr>
        <w:t>Ú</w:t>
      </w:r>
      <w:r w:rsidRPr="009F5D61">
        <w:rPr>
          <w:rFonts w:ascii="Palatino Linotype" w:hAnsi="Palatino Linotype"/>
          <w:szCs w:val="20"/>
        </w:rPr>
        <w:t>BLICO FRONTEIRIÇO AO IMÓVEL QUE POSSUEM. A</w:t>
      </w:r>
      <w:r w:rsidRPr="009F5D61">
        <w:rPr>
          <w:rFonts w:ascii="Palatino Linotype" w:hAnsi="Palatino Linotype"/>
          <w:szCs w:val="20"/>
        </w:rPr>
        <w:t>U</w:t>
      </w:r>
      <w:r w:rsidRPr="009F5D61">
        <w:rPr>
          <w:rFonts w:ascii="Palatino Linotype" w:hAnsi="Palatino Linotype"/>
          <w:szCs w:val="20"/>
        </w:rPr>
        <w:t>SÊNCIA DE OFENSA AOS PRINCÍPIOS DA SEPARAÇÃO DOS PODERES, DA AMPLA DEFESA E DA IGUALDADE. I) Inexiste ofensa aos artigos 60, ‘d’, e 82, VII, da Constituição E</w:t>
      </w:r>
      <w:r w:rsidRPr="009F5D61">
        <w:rPr>
          <w:rFonts w:ascii="Palatino Linotype" w:hAnsi="Palatino Linotype"/>
          <w:szCs w:val="20"/>
        </w:rPr>
        <w:t>s</w:t>
      </w:r>
      <w:r w:rsidRPr="009F5D61">
        <w:rPr>
          <w:rFonts w:ascii="Palatino Linotype" w:hAnsi="Palatino Linotype"/>
          <w:szCs w:val="20"/>
        </w:rPr>
        <w:t>tadual, visto que a Lei Complementar nº. 530/2017 não dispõe sobre organização, funcionamento ou estruturação da admini</w:t>
      </w:r>
      <w:r w:rsidRPr="009F5D61">
        <w:rPr>
          <w:rFonts w:ascii="Palatino Linotype" w:hAnsi="Palatino Linotype"/>
          <w:szCs w:val="20"/>
        </w:rPr>
        <w:t>s</w:t>
      </w:r>
      <w:r w:rsidRPr="009F5D61">
        <w:rPr>
          <w:rFonts w:ascii="Palatino Linotype" w:hAnsi="Palatino Linotype"/>
          <w:szCs w:val="20"/>
        </w:rPr>
        <w:t>tração pública municipal. II) A referida Lei, ao prever a obrig</w:t>
      </w:r>
      <w:r w:rsidRPr="009F5D61">
        <w:rPr>
          <w:rFonts w:ascii="Palatino Linotype" w:hAnsi="Palatino Linotype"/>
          <w:szCs w:val="20"/>
        </w:rPr>
        <w:t>a</w:t>
      </w:r>
      <w:r w:rsidRPr="009F5D61">
        <w:rPr>
          <w:rFonts w:ascii="Palatino Linotype" w:hAnsi="Palatino Linotype"/>
          <w:szCs w:val="20"/>
        </w:rPr>
        <w:t>ção de ressarcimento ao Município de Caxias do Sul pelas eve</w:t>
      </w:r>
      <w:r w:rsidRPr="009F5D61">
        <w:rPr>
          <w:rFonts w:ascii="Palatino Linotype" w:hAnsi="Palatino Linotype"/>
          <w:szCs w:val="20"/>
        </w:rPr>
        <w:t>n</w:t>
      </w:r>
      <w:r w:rsidRPr="009F5D61">
        <w:rPr>
          <w:rFonts w:ascii="Palatino Linotype" w:hAnsi="Palatino Linotype"/>
          <w:szCs w:val="20"/>
        </w:rPr>
        <w:t>tuais despesas com a realização dos r</w:t>
      </w:r>
      <w:r w:rsidRPr="009F5D61">
        <w:rPr>
          <w:rFonts w:ascii="Palatino Linotype" w:hAnsi="Palatino Linotype"/>
          <w:szCs w:val="20"/>
        </w:rPr>
        <w:t>e</w:t>
      </w:r>
      <w:r w:rsidRPr="009F5D61">
        <w:rPr>
          <w:rFonts w:ascii="Palatino Linotype" w:hAnsi="Palatino Linotype"/>
          <w:szCs w:val="20"/>
        </w:rPr>
        <w:t>paros, não está criando a obrigação de o Poder Público providenciar a manutenção dev</w:t>
      </w:r>
      <w:r w:rsidRPr="009F5D61">
        <w:rPr>
          <w:rFonts w:ascii="Palatino Linotype" w:hAnsi="Palatino Linotype"/>
          <w:szCs w:val="20"/>
        </w:rPr>
        <w:t>i</w:t>
      </w:r>
      <w:r w:rsidRPr="009F5D61">
        <w:rPr>
          <w:rFonts w:ascii="Palatino Linotype" w:hAnsi="Palatino Linotype"/>
          <w:szCs w:val="20"/>
        </w:rPr>
        <w:t>da, mas tão-somente o dever de o particular re</w:t>
      </w:r>
      <w:r w:rsidRPr="009F5D61">
        <w:rPr>
          <w:rFonts w:ascii="Palatino Linotype" w:hAnsi="Palatino Linotype"/>
          <w:szCs w:val="20"/>
        </w:rPr>
        <w:t>s</w:t>
      </w:r>
      <w:r w:rsidRPr="009F5D61">
        <w:rPr>
          <w:rFonts w:ascii="Palatino Linotype" w:hAnsi="Palatino Linotype"/>
          <w:szCs w:val="20"/>
        </w:rPr>
        <w:t>sarci-lo. III) Da mesma forma ausente ofensa aos princípios da ampla defesa e da isonomia na aplicação da multa na primeira notificação, porquanto há previsão de defesa do particular no Código de Posturas do Município. AÇÃO DIRETA DE INCONSTIT</w:t>
      </w:r>
      <w:r w:rsidRPr="009F5D61">
        <w:rPr>
          <w:rFonts w:ascii="Palatino Linotype" w:hAnsi="Palatino Linotype"/>
          <w:szCs w:val="20"/>
        </w:rPr>
        <w:t>U</w:t>
      </w:r>
      <w:r w:rsidRPr="009F5D61">
        <w:rPr>
          <w:rFonts w:ascii="Palatino Linotype" w:hAnsi="Palatino Linotype"/>
          <w:szCs w:val="20"/>
        </w:rPr>
        <w:t>CIONALIDADE IMPROCEDENTE. UNÂNIME.(Ação Direta de Inconstitucionalidade, Nº 70075985747, Tribunal Pleno, Tr</w:t>
      </w:r>
      <w:r w:rsidRPr="009F5D61">
        <w:rPr>
          <w:rFonts w:ascii="Palatino Linotype" w:hAnsi="Palatino Linotype"/>
          <w:szCs w:val="20"/>
        </w:rPr>
        <w:t>i</w:t>
      </w:r>
      <w:r w:rsidRPr="009F5D61">
        <w:rPr>
          <w:rFonts w:ascii="Palatino Linotype" w:hAnsi="Palatino Linotype"/>
          <w:szCs w:val="20"/>
        </w:rPr>
        <w:t xml:space="preserve">bunal de Justiça do RS, Relator: Francisco José Moesch, Julgado em: 13-08-2018). </w:t>
      </w:r>
    </w:p>
    <w:p w:rsidR="009F5D61" w:rsidRDefault="009F5D61" w:rsidP="00667BD0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</w:p>
    <w:p w:rsidR="009F5D61" w:rsidRDefault="009F5D61" w:rsidP="00667BD0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</w:p>
    <w:p w:rsidR="00995BCD" w:rsidRDefault="00995BCD" w:rsidP="00667BD0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667BD0">
        <w:rPr>
          <w:rFonts w:ascii="Palatino Linotype" w:hAnsi="Palatino Linotype"/>
          <w:szCs w:val="20"/>
        </w:rPr>
        <w:lastRenderedPageBreak/>
        <w:t>Ação Direta de Inconstitucionalidade ADI 21383998720148260000-SP.</w:t>
      </w:r>
      <w:r w:rsidR="0073609A" w:rsidRPr="00667BD0">
        <w:rPr>
          <w:rFonts w:ascii="Palatino Linotype" w:hAnsi="Palatino Linotype"/>
          <w:szCs w:val="20"/>
        </w:rPr>
        <w:t xml:space="preserve"> Lei Municipal nº 7.283/2014, do M</w:t>
      </w:r>
      <w:r w:rsidR="0073609A" w:rsidRPr="00667BD0">
        <w:rPr>
          <w:rFonts w:ascii="Palatino Linotype" w:hAnsi="Palatino Linotype"/>
          <w:szCs w:val="20"/>
        </w:rPr>
        <w:t>u</w:t>
      </w:r>
      <w:r w:rsidR="0073609A" w:rsidRPr="00667BD0">
        <w:rPr>
          <w:rFonts w:ascii="Palatino Linotype" w:hAnsi="Palatino Linotype"/>
          <w:szCs w:val="20"/>
        </w:rPr>
        <w:t>nicípio de Guarulhos</w:t>
      </w:r>
      <w:r w:rsidR="00D4059C" w:rsidRPr="00667BD0">
        <w:rPr>
          <w:rFonts w:ascii="Palatino Linotype" w:hAnsi="Palatino Linotype"/>
          <w:szCs w:val="20"/>
        </w:rPr>
        <w:t xml:space="preserve"> - </w:t>
      </w:r>
      <w:r w:rsidR="00D4059C" w:rsidRPr="001E0D79">
        <w:rPr>
          <w:rFonts w:ascii="Palatino Linotype" w:hAnsi="Palatino Linotype"/>
          <w:b/>
          <w:szCs w:val="20"/>
          <w:u w:val="single"/>
        </w:rPr>
        <w:t>Dispõe sobre acessibilidade nas ac</w:t>
      </w:r>
      <w:r w:rsidR="00D4059C" w:rsidRPr="001E0D79">
        <w:rPr>
          <w:rFonts w:ascii="Palatino Linotype" w:hAnsi="Palatino Linotype"/>
          <w:b/>
          <w:szCs w:val="20"/>
          <w:u w:val="single"/>
        </w:rPr>
        <w:t>a</w:t>
      </w:r>
      <w:r w:rsidR="00D4059C" w:rsidRPr="001E0D79">
        <w:rPr>
          <w:rFonts w:ascii="Palatino Linotype" w:hAnsi="Palatino Linotype"/>
          <w:b/>
          <w:szCs w:val="20"/>
          <w:u w:val="single"/>
        </w:rPr>
        <w:t>demias para pessoas com nanismo no Município de Guar</w:t>
      </w:r>
      <w:r w:rsidR="00D4059C" w:rsidRPr="001E0D79">
        <w:rPr>
          <w:rFonts w:ascii="Palatino Linotype" w:hAnsi="Palatino Linotype"/>
          <w:b/>
          <w:szCs w:val="20"/>
          <w:u w:val="single"/>
        </w:rPr>
        <w:t>u</w:t>
      </w:r>
      <w:r w:rsidR="00D4059C" w:rsidRPr="001E0D79">
        <w:rPr>
          <w:rFonts w:ascii="Palatino Linotype" w:hAnsi="Palatino Linotype"/>
          <w:b/>
          <w:szCs w:val="20"/>
          <w:u w:val="single"/>
        </w:rPr>
        <w:t>lhos.</w:t>
      </w:r>
      <w:r w:rsidR="0073609A" w:rsidRPr="001E0D79">
        <w:rPr>
          <w:rFonts w:ascii="Palatino Linotype" w:hAnsi="Palatino Linotype"/>
          <w:b/>
          <w:szCs w:val="20"/>
          <w:u w:val="single"/>
        </w:rPr>
        <w:t xml:space="preserve"> Vício de Iniciativa. Inocorrência. Estipulação de regra geral voltada aos particulares. Ausência de expressa reserva de iniciativa legislativa do Chefe do Poder Executivo. Ação improcedente</w:t>
      </w:r>
      <w:r w:rsidR="0073609A" w:rsidRPr="00667BD0">
        <w:rPr>
          <w:rFonts w:ascii="Palatino Linotype" w:hAnsi="Palatino Linotype"/>
          <w:szCs w:val="20"/>
        </w:rPr>
        <w:t>.</w:t>
      </w:r>
      <w:r w:rsidR="00A25B2C" w:rsidRPr="00667BD0">
        <w:rPr>
          <w:rFonts w:ascii="Palatino Linotype" w:hAnsi="Palatino Linotype"/>
          <w:szCs w:val="20"/>
        </w:rPr>
        <w:t xml:space="preserve"> (ADI 21383998720148260000 – São Paulo – Ó</w:t>
      </w:r>
      <w:r w:rsidR="00A25B2C" w:rsidRPr="00667BD0">
        <w:rPr>
          <w:rFonts w:ascii="Palatino Linotype" w:hAnsi="Palatino Linotype"/>
          <w:szCs w:val="20"/>
        </w:rPr>
        <w:t>r</w:t>
      </w:r>
      <w:r w:rsidR="00A25B2C" w:rsidRPr="00667BD0">
        <w:rPr>
          <w:rFonts w:ascii="Palatino Linotype" w:hAnsi="Palatino Linotype"/>
          <w:szCs w:val="20"/>
        </w:rPr>
        <w:t>gão Especial – Relator Ademir Benedito – 11/03/2015 – Votação Unânime – Voto nº 35659).</w:t>
      </w:r>
    </w:p>
    <w:p w:rsidR="00667BD0" w:rsidRDefault="00667BD0" w:rsidP="00667BD0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3E5FF6">
        <w:rPr>
          <w:rFonts w:ascii="Palatino Linotype" w:hAnsi="Palatino Linotype"/>
          <w:b/>
          <w:szCs w:val="20"/>
          <w:u w:val="single"/>
        </w:rPr>
        <w:t>Não está configurada invasão da competência do Poder Exec</w:t>
      </w:r>
      <w:r w:rsidRPr="003E5FF6">
        <w:rPr>
          <w:rFonts w:ascii="Palatino Linotype" w:hAnsi="Palatino Linotype"/>
          <w:b/>
          <w:szCs w:val="20"/>
          <w:u w:val="single"/>
        </w:rPr>
        <w:t>u</w:t>
      </w:r>
      <w:r w:rsidRPr="003E5FF6">
        <w:rPr>
          <w:rFonts w:ascii="Palatino Linotype" w:hAnsi="Palatino Linotype"/>
          <w:b/>
          <w:szCs w:val="20"/>
          <w:u w:val="single"/>
        </w:rPr>
        <w:t>tivo, porque a lei em comento não versa sobre matéria sujeita à iniciativa reservada sua, criando obrigações tão somente aos particulares</w:t>
      </w:r>
      <w:r w:rsidRPr="00667BD0">
        <w:rPr>
          <w:rFonts w:ascii="Palatino Linotype" w:hAnsi="Palatino Linotype"/>
          <w:szCs w:val="20"/>
        </w:rPr>
        <w:t>, quando, então, prevalece a competência conco</w:t>
      </w:r>
      <w:r w:rsidRPr="00667BD0">
        <w:rPr>
          <w:rFonts w:ascii="Palatino Linotype" w:hAnsi="Palatino Linotype"/>
          <w:szCs w:val="20"/>
        </w:rPr>
        <w:t>r</w:t>
      </w:r>
      <w:r w:rsidRPr="00667BD0">
        <w:rPr>
          <w:rFonts w:ascii="Palatino Linotype" w:hAnsi="Palatino Linotype"/>
          <w:szCs w:val="20"/>
        </w:rPr>
        <w:t>rente para se legislar sobre o assunto (art. 24, da Constituição Estadual, tal como o art. 61, da CF).</w:t>
      </w:r>
    </w:p>
    <w:p w:rsidR="00667BD0" w:rsidRDefault="00667BD0" w:rsidP="00667BD0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 w:rsidRPr="003E5FF6">
        <w:rPr>
          <w:rFonts w:ascii="Palatino Linotype" w:hAnsi="Palatino Linotype"/>
          <w:b/>
          <w:szCs w:val="20"/>
          <w:u w:val="single"/>
        </w:rPr>
        <w:t>Trata-se, no caso, de exercício do Poder de Polícia da Adm</w:t>
      </w:r>
      <w:r w:rsidRPr="003E5FF6">
        <w:rPr>
          <w:rFonts w:ascii="Palatino Linotype" w:hAnsi="Palatino Linotype"/>
          <w:b/>
          <w:szCs w:val="20"/>
          <w:u w:val="single"/>
        </w:rPr>
        <w:t>i</w:t>
      </w:r>
      <w:r w:rsidRPr="003E5FF6">
        <w:rPr>
          <w:rFonts w:ascii="Palatino Linotype" w:hAnsi="Palatino Linotype"/>
          <w:b/>
          <w:szCs w:val="20"/>
          <w:u w:val="single"/>
        </w:rPr>
        <w:t xml:space="preserve">nistração Pública, cujo alvo é matéria não inserida dentre </w:t>
      </w:r>
      <w:r w:rsidRPr="003E5FF6">
        <w:rPr>
          <w:rFonts w:ascii="Palatino Linotype" w:hAnsi="Palatino Linotype"/>
          <w:b/>
          <w:szCs w:val="20"/>
          <w:u w:val="single"/>
        </w:rPr>
        <w:t>a</w:t>
      </w:r>
      <w:r w:rsidRPr="003E5FF6">
        <w:rPr>
          <w:rFonts w:ascii="Palatino Linotype" w:hAnsi="Palatino Linotype"/>
          <w:b/>
          <w:szCs w:val="20"/>
          <w:u w:val="single"/>
        </w:rPr>
        <w:t>quelas cuja iniciativa legislativa seja reservada ao Chefe do Executivo, ou mesmo privativa da Administração</w:t>
      </w:r>
      <w:r w:rsidR="00FF2C53">
        <w:rPr>
          <w:rFonts w:ascii="Palatino Linotype" w:hAnsi="Palatino Linotype"/>
          <w:szCs w:val="20"/>
        </w:rPr>
        <w:t>.</w:t>
      </w:r>
    </w:p>
    <w:p w:rsidR="00FF2C53" w:rsidRPr="00093E6D" w:rsidRDefault="00FF2C53" w:rsidP="00667BD0">
      <w:pPr>
        <w:spacing w:after="0" w:line="240" w:lineRule="auto"/>
        <w:ind w:left="2268"/>
        <w:jc w:val="both"/>
        <w:rPr>
          <w:rFonts w:ascii="Palatino Linotype" w:hAnsi="Palatino Linotype"/>
          <w:b/>
          <w:szCs w:val="20"/>
          <w:u w:val="single"/>
        </w:rPr>
      </w:pPr>
      <w:r w:rsidRPr="00EA1EC5">
        <w:rPr>
          <w:rFonts w:ascii="Palatino Linotype" w:hAnsi="Palatino Linotype"/>
          <w:b/>
          <w:szCs w:val="20"/>
          <w:u w:val="single"/>
        </w:rPr>
        <w:t>Saliente-se que a Lei Municipal em comento tem por objetivo tutelar direitos de portadores de deficiências, de acordo com o que dispõe o art. 23, II da Constituição Federal</w:t>
      </w:r>
      <w:r w:rsidRPr="00FF2C53">
        <w:rPr>
          <w:rFonts w:ascii="Palatino Linotype" w:hAnsi="Palatino Linotype"/>
          <w:szCs w:val="20"/>
        </w:rPr>
        <w:t xml:space="preserve">. </w:t>
      </w:r>
      <w:r w:rsidRPr="00093E6D">
        <w:rPr>
          <w:rFonts w:ascii="Palatino Linotype" w:hAnsi="Palatino Linotype"/>
          <w:b/>
          <w:szCs w:val="20"/>
          <w:u w:val="single"/>
        </w:rPr>
        <w:t>E a questão assemelha-se às imposições por leis municipais a superme</w:t>
      </w:r>
      <w:r w:rsidRPr="00093E6D">
        <w:rPr>
          <w:rFonts w:ascii="Palatino Linotype" w:hAnsi="Palatino Linotype"/>
          <w:b/>
          <w:szCs w:val="20"/>
          <w:u w:val="single"/>
        </w:rPr>
        <w:t>r</w:t>
      </w:r>
      <w:r w:rsidRPr="00093E6D">
        <w:rPr>
          <w:rFonts w:ascii="Palatino Linotype" w:hAnsi="Palatino Linotype"/>
          <w:b/>
          <w:szCs w:val="20"/>
          <w:u w:val="single"/>
        </w:rPr>
        <w:t>cados e shopping centers, que devem reservar número de v</w:t>
      </w:r>
      <w:r w:rsidRPr="00093E6D">
        <w:rPr>
          <w:rFonts w:ascii="Palatino Linotype" w:hAnsi="Palatino Linotype"/>
          <w:b/>
          <w:szCs w:val="20"/>
          <w:u w:val="single"/>
        </w:rPr>
        <w:t>a</w:t>
      </w:r>
      <w:r w:rsidRPr="00093E6D">
        <w:rPr>
          <w:rFonts w:ascii="Palatino Linotype" w:hAnsi="Palatino Linotype"/>
          <w:b/>
          <w:szCs w:val="20"/>
          <w:u w:val="single"/>
        </w:rPr>
        <w:t>gas em estacionamento para deficientes, idosos e gestantes, para melhor atendimento de seus usuários.</w:t>
      </w:r>
    </w:p>
    <w:p w:rsidR="00DB4D33" w:rsidRDefault="00DB4D33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8504E" w:rsidRDefault="0008504E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Nesse sentido já vige no Município de Porto Alegre a </w:t>
      </w:r>
      <w:r w:rsidRPr="0008504E">
        <w:rPr>
          <w:rFonts w:ascii="Palatino Linotype" w:hAnsi="Palatino Linotype"/>
          <w:sz w:val="24"/>
          <w:szCs w:val="24"/>
        </w:rPr>
        <w:t>LEI Nº 13.4</w:t>
      </w:r>
      <w:r>
        <w:rPr>
          <w:rFonts w:ascii="Palatino Linotype" w:hAnsi="Palatino Linotype"/>
          <w:sz w:val="24"/>
          <w:szCs w:val="24"/>
        </w:rPr>
        <w:t xml:space="preserve">38, DE 17 DE ABRIL DE 2023, a qual </w:t>
      </w:r>
      <w:r w:rsidRPr="0008504E">
        <w:rPr>
          <w:rFonts w:ascii="Palatino Linotype" w:hAnsi="Palatino Linotype"/>
          <w:sz w:val="24"/>
          <w:szCs w:val="24"/>
        </w:rPr>
        <w:t>Determina a fixação no solo da base das gole</w:t>
      </w:r>
      <w:r w:rsidRPr="0008504E">
        <w:rPr>
          <w:rFonts w:ascii="Palatino Linotype" w:hAnsi="Palatino Linotype"/>
          <w:sz w:val="24"/>
          <w:szCs w:val="24"/>
        </w:rPr>
        <w:t>i</w:t>
      </w:r>
      <w:r w:rsidRPr="0008504E">
        <w:rPr>
          <w:rFonts w:ascii="Palatino Linotype" w:hAnsi="Palatino Linotype"/>
          <w:sz w:val="24"/>
          <w:szCs w:val="24"/>
        </w:rPr>
        <w:t>ras que se destinam a práticas esportivas nos espaços públicos e privados no Mun</w:t>
      </w:r>
      <w:r w:rsidRPr="0008504E">
        <w:rPr>
          <w:rFonts w:ascii="Palatino Linotype" w:hAnsi="Palatino Linotype"/>
          <w:sz w:val="24"/>
          <w:szCs w:val="24"/>
        </w:rPr>
        <w:t>i</w:t>
      </w:r>
      <w:r w:rsidRPr="0008504E">
        <w:rPr>
          <w:rFonts w:ascii="Palatino Linotype" w:hAnsi="Palatino Linotype"/>
          <w:sz w:val="24"/>
          <w:szCs w:val="24"/>
        </w:rPr>
        <w:t>cípio de Porto Alegre e revoga a Lei nº 10.721, de 7 de julho de 2009.</w:t>
      </w:r>
    </w:p>
    <w:p w:rsidR="0008504E" w:rsidRDefault="0008504E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C0734" w:rsidRDefault="002C0734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Não obstante, é necessária a supressão do parágrafo único do art. 2º da proposta, consoante entendimento assentado pelo TJRS:</w:t>
      </w:r>
    </w:p>
    <w:p w:rsidR="002C0734" w:rsidRDefault="002C0734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C0734" w:rsidRPr="002C0734" w:rsidRDefault="002C0734" w:rsidP="002C0734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>
        <w:rPr>
          <w:rFonts w:ascii="Palatino Linotype" w:hAnsi="Palatino Linotype"/>
          <w:sz w:val="24"/>
          <w:szCs w:val="24"/>
        </w:rPr>
        <w:tab/>
      </w:r>
      <w:r w:rsidRPr="002C0734">
        <w:rPr>
          <w:rFonts w:ascii="Palatino Linotype" w:hAnsi="Palatino Linotype"/>
          <w:szCs w:val="20"/>
        </w:rPr>
        <w:t xml:space="preserve">AÇÃO DIRETA DE INCONSTITUCIONALIDADE. LEI COMPLEMENTAR N.º 582, DE 20 DE MAIO DE 2019, DO </w:t>
      </w:r>
      <w:r w:rsidRPr="002C0734">
        <w:rPr>
          <w:rFonts w:ascii="Palatino Linotype" w:hAnsi="Palatino Linotype"/>
          <w:szCs w:val="20"/>
        </w:rPr>
        <w:lastRenderedPageBreak/>
        <w:t>MUNICÍPIO DE CAXIAS DO SUL, QUE ‘ACRESCE DISPOS</w:t>
      </w:r>
      <w:r w:rsidRPr="002C0734">
        <w:rPr>
          <w:rFonts w:ascii="Palatino Linotype" w:hAnsi="Palatino Linotype"/>
          <w:szCs w:val="20"/>
        </w:rPr>
        <w:t>I</w:t>
      </w:r>
      <w:r w:rsidRPr="002C0734">
        <w:rPr>
          <w:rFonts w:ascii="Palatino Linotype" w:hAnsi="Palatino Linotype"/>
          <w:szCs w:val="20"/>
        </w:rPr>
        <w:t xml:space="preserve">TIVO À LEI COMPLEMENTAR Nº 377, DE 22 DE DEZEMBRO DE 2010, QUE CONSOLIDA A LEGISLAÇÃO RELATIVA AO CÓDIGO DE POSTURAS DO MUNICÍPIO’. Lei oriunda do Poder Legislativo. </w:t>
      </w:r>
      <w:r w:rsidRPr="004B6D0B">
        <w:rPr>
          <w:rFonts w:ascii="Palatino Linotype" w:hAnsi="Palatino Linotype"/>
          <w:b/>
          <w:szCs w:val="20"/>
          <w:u w:val="single"/>
        </w:rPr>
        <w:t xml:space="preserve">Instituição de hipóteses de mitigação das regras para concessão de alvará de licença municipal. Vício de </w:t>
      </w:r>
      <w:r w:rsidRPr="004B6D0B">
        <w:rPr>
          <w:rFonts w:ascii="Palatino Linotype" w:hAnsi="Palatino Linotype"/>
          <w:b/>
          <w:szCs w:val="20"/>
          <w:u w:val="single"/>
        </w:rPr>
        <w:t>i</w:t>
      </w:r>
      <w:r w:rsidRPr="004B6D0B">
        <w:rPr>
          <w:rFonts w:ascii="Palatino Linotype" w:hAnsi="Palatino Linotype"/>
          <w:b/>
          <w:szCs w:val="20"/>
          <w:u w:val="single"/>
        </w:rPr>
        <w:t>niciativa. Lei que padece de vício formal, na medida em que o Poder Legislativo Municipal invadiu a seara de competência do Poder Executivo Municipal</w:t>
      </w:r>
      <w:r w:rsidRPr="002C0734">
        <w:rPr>
          <w:rFonts w:ascii="Palatino Linotype" w:hAnsi="Palatino Linotype"/>
          <w:szCs w:val="20"/>
        </w:rPr>
        <w:t>. Afronta ao princípio da ha</w:t>
      </w:r>
      <w:r w:rsidRPr="002C0734">
        <w:rPr>
          <w:rFonts w:ascii="Palatino Linotype" w:hAnsi="Palatino Linotype"/>
          <w:szCs w:val="20"/>
        </w:rPr>
        <w:t>r</w:t>
      </w:r>
      <w:r w:rsidRPr="002C0734">
        <w:rPr>
          <w:rFonts w:ascii="Palatino Linotype" w:hAnsi="Palatino Linotype"/>
          <w:szCs w:val="20"/>
        </w:rPr>
        <w:t>monia e independência entre os poderes. Violação aos artigos 5º, 10, 60, inciso II, alínea ‘d’, e 82, incisos III e VII, aplicáveis aos Municípios por força do artigo 8º, ‘caput’, todos da Const</w:t>
      </w:r>
      <w:r w:rsidRPr="002C0734">
        <w:rPr>
          <w:rFonts w:ascii="Palatino Linotype" w:hAnsi="Palatino Linotype"/>
          <w:szCs w:val="20"/>
        </w:rPr>
        <w:t>i</w:t>
      </w:r>
      <w:r w:rsidRPr="002C0734">
        <w:rPr>
          <w:rFonts w:ascii="Palatino Linotype" w:hAnsi="Palatino Linotype"/>
          <w:szCs w:val="20"/>
        </w:rPr>
        <w:t>tuição Estadual. AÇÃO DIRETA DE INCONSTITUCIONAL</w:t>
      </w:r>
      <w:r w:rsidRPr="002C0734">
        <w:rPr>
          <w:rFonts w:ascii="Palatino Linotype" w:hAnsi="Palatino Linotype"/>
          <w:szCs w:val="20"/>
        </w:rPr>
        <w:t>I</w:t>
      </w:r>
      <w:r w:rsidRPr="002C0734">
        <w:rPr>
          <w:rFonts w:ascii="Palatino Linotype" w:hAnsi="Palatino Linotype"/>
          <w:szCs w:val="20"/>
        </w:rPr>
        <w:t>DADE JULGADA PROCEDENTE. UNÂNIME.(Direta de I</w:t>
      </w:r>
      <w:r w:rsidRPr="002C0734">
        <w:rPr>
          <w:rFonts w:ascii="Palatino Linotype" w:hAnsi="Palatino Linotype"/>
          <w:szCs w:val="20"/>
        </w:rPr>
        <w:t>n</w:t>
      </w:r>
      <w:r w:rsidRPr="002C0734">
        <w:rPr>
          <w:rFonts w:ascii="Palatino Linotype" w:hAnsi="Palatino Linotype"/>
          <w:szCs w:val="20"/>
        </w:rPr>
        <w:t>constitucion</w:t>
      </w:r>
      <w:r w:rsidRPr="002C0734">
        <w:rPr>
          <w:rFonts w:ascii="Palatino Linotype" w:hAnsi="Palatino Linotype"/>
          <w:szCs w:val="20"/>
        </w:rPr>
        <w:t>a</w:t>
      </w:r>
      <w:r w:rsidRPr="002C0734">
        <w:rPr>
          <w:rFonts w:ascii="Palatino Linotype" w:hAnsi="Palatino Linotype"/>
          <w:szCs w:val="20"/>
        </w:rPr>
        <w:t>lidade, Nº 70081677007, Tribunal Pleno, Tribunal de Justiça do RS, Relator: Glênio José Wasserstein Hekman, Ju</w:t>
      </w:r>
      <w:r w:rsidRPr="002C0734">
        <w:rPr>
          <w:rFonts w:ascii="Palatino Linotype" w:hAnsi="Palatino Linotype"/>
          <w:szCs w:val="20"/>
        </w:rPr>
        <w:t>l</w:t>
      </w:r>
      <w:r w:rsidRPr="002C0734">
        <w:rPr>
          <w:rFonts w:ascii="Palatino Linotype" w:hAnsi="Palatino Linotype"/>
          <w:szCs w:val="20"/>
        </w:rPr>
        <w:t>gado em: 30-09-2019)</w:t>
      </w:r>
    </w:p>
    <w:p w:rsidR="002C0734" w:rsidRPr="00014476" w:rsidRDefault="002C0734" w:rsidP="002E6A6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014476" w:rsidRDefault="00F85172" w:rsidP="00C022E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14476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014476" w:rsidRDefault="00F85172" w:rsidP="00C022E8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E3A15" w:rsidRPr="00014476" w:rsidRDefault="00446928" w:rsidP="0044692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014476">
        <w:rPr>
          <w:rFonts w:ascii="Palatino Linotype" w:hAnsi="Palatino Linotype"/>
          <w:b/>
          <w:sz w:val="24"/>
          <w:szCs w:val="24"/>
        </w:rPr>
        <w:t xml:space="preserve">opina </w:t>
      </w:r>
      <w:r w:rsidRPr="00014476">
        <w:rPr>
          <w:rFonts w:ascii="Palatino Linotype" w:hAnsi="Palatino Linotype"/>
          <w:sz w:val="24"/>
          <w:szCs w:val="24"/>
        </w:rPr>
        <w:t>pela legalidade e pela reg</w:t>
      </w:r>
      <w:r w:rsidRPr="00014476">
        <w:rPr>
          <w:rFonts w:ascii="Palatino Linotype" w:hAnsi="Palatino Linotype"/>
          <w:sz w:val="24"/>
          <w:szCs w:val="24"/>
        </w:rPr>
        <w:t>u</w:t>
      </w:r>
      <w:r w:rsidRPr="00014476">
        <w:rPr>
          <w:rFonts w:ascii="Palatino Linotype" w:hAnsi="Palatino Linotype"/>
          <w:sz w:val="24"/>
          <w:szCs w:val="24"/>
        </w:rPr>
        <w:t xml:space="preserve">lar tramitação do Projeto de Lei </w:t>
      </w:r>
      <w:r w:rsidR="00664078">
        <w:rPr>
          <w:rFonts w:ascii="Palatino Linotype" w:hAnsi="Palatino Linotype"/>
          <w:sz w:val="24"/>
          <w:szCs w:val="24"/>
        </w:rPr>
        <w:t xml:space="preserve">do Legislativo </w:t>
      </w:r>
      <w:r w:rsidRPr="00014476">
        <w:rPr>
          <w:rFonts w:ascii="Palatino Linotype" w:hAnsi="Palatino Linotype"/>
          <w:sz w:val="24"/>
          <w:szCs w:val="24"/>
        </w:rPr>
        <w:t xml:space="preserve">nº </w:t>
      </w:r>
      <w:r w:rsidR="0049257B" w:rsidRPr="00014476">
        <w:rPr>
          <w:rFonts w:ascii="Palatino Linotype" w:hAnsi="Palatino Linotype"/>
          <w:sz w:val="24"/>
          <w:szCs w:val="24"/>
        </w:rPr>
        <w:t>0</w:t>
      </w:r>
      <w:r w:rsidR="000E01C6">
        <w:rPr>
          <w:rFonts w:ascii="Palatino Linotype" w:hAnsi="Palatino Linotype"/>
          <w:sz w:val="24"/>
          <w:szCs w:val="24"/>
        </w:rPr>
        <w:t>81</w:t>
      </w:r>
      <w:r w:rsidR="0049257B" w:rsidRPr="00014476">
        <w:rPr>
          <w:rFonts w:ascii="Palatino Linotype" w:hAnsi="Palatino Linotype"/>
          <w:sz w:val="24"/>
          <w:szCs w:val="24"/>
        </w:rPr>
        <w:t>/20</w:t>
      </w:r>
      <w:r w:rsidR="00154A45" w:rsidRPr="00014476">
        <w:rPr>
          <w:rFonts w:ascii="Palatino Linotype" w:hAnsi="Palatino Linotype"/>
          <w:sz w:val="24"/>
          <w:szCs w:val="24"/>
        </w:rPr>
        <w:t>2</w:t>
      </w:r>
      <w:r w:rsidR="000E01C6">
        <w:rPr>
          <w:rFonts w:ascii="Palatino Linotype" w:hAnsi="Palatino Linotype"/>
          <w:sz w:val="24"/>
          <w:szCs w:val="24"/>
        </w:rPr>
        <w:t>3</w:t>
      </w:r>
      <w:r w:rsidRPr="00014476">
        <w:rPr>
          <w:rFonts w:ascii="Palatino Linotype" w:hAnsi="Palatino Linotype"/>
          <w:sz w:val="24"/>
          <w:szCs w:val="24"/>
        </w:rPr>
        <w:t>,</w:t>
      </w:r>
      <w:r w:rsidR="00E931DA" w:rsidRPr="00014476">
        <w:rPr>
          <w:rFonts w:ascii="Palatino Linotype" w:hAnsi="Palatino Linotype"/>
          <w:sz w:val="24"/>
          <w:szCs w:val="24"/>
        </w:rPr>
        <w:t xml:space="preserve"> por inexistirem v</w:t>
      </w:r>
      <w:r w:rsidR="00E931DA" w:rsidRPr="00014476">
        <w:rPr>
          <w:rFonts w:ascii="Palatino Linotype" w:hAnsi="Palatino Linotype"/>
          <w:sz w:val="24"/>
          <w:szCs w:val="24"/>
        </w:rPr>
        <w:t>í</w:t>
      </w:r>
      <w:r w:rsidR="00E931DA" w:rsidRPr="00014476">
        <w:rPr>
          <w:rFonts w:ascii="Palatino Linotype" w:hAnsi="Palatino Linotype"/>
          <w:sz w:val="24"/>
          <w:szCs w:val="24"/>
        </w:rPr>
        <w:t>cios de natureza material ou formal que impeçam a sua deliberação em Plen</w:t>
      </w:r>
      <w:r w:rsidR="00E931DA" w:rsidRPr="00014476">
        <w:rPr>
          <w:rFonts w:ascii="Palatino Linotype" w:hAnsi="Palatino Linotype"/>
          <w:sz w:val="24"/>
          <w:szCs w:val="24"/>
        </w:rPr>
        <w:t>á</w:t>
      </w:r>
      <w:r w:rsidR="00E931DA" w:rsidRPr="00014476">
        <w:rPr>
          <w:rFonts w:ascii="Palatino Linotype" w:hAnsi="Palatino Linotype"/>
          <w:sz w:val="24"/>
          <w:szCs w:val="24"/>
        </w:rPr>
        <w:t>rio</w:t>
      </w:r>
      <w:r w:rsidR="0049257B" w:rsidRPr="00014476">
        <w:rPr>
          <w:rFonts w:ascii="Palatino Linotype" w:hAnsi="Palatino Linotype"/>
          <w:sz w:val="24"/>
          <w:szCs w:val="24"/>
        </w:rPr>
        <w:t>.</w:t>
      </w:r>
      <w:r w:rsidR="00D967B1">
        <w:rPr>
          <w:rFonts w:ascii="Palatino Linotype" w:hAnsi="Palatino Linotype"/>
          <w:sz w:val="24"/>
          <w:szCs w:val="24"/>
        </w:rPr>
        <w:t xml:space="preserve"> </w:t>
      </w:r>
      <w:r w:rsidR="00AE3A15">
        <w:rPr>
          <w:rFonts w:ascii="Palatino Linotype" w:hAnsi="Palatino Linotype"/>
          <w:sz w:val="24"/>
          <w:szCs w:val="24"/>
        </w:rPr>
        <w:t xml:space="preserve">É necessária a supressão do </w:t>
      </w:r>
      <w:r w:rsidR="00457809">
        <w:rPr>
          <w:rFonts w:ascii="Palatino Linotype" w:hAnsi="Palatino Linotype"/>
          <w:sz w:val="24"/>
          <w:szCs w:val="24"/>
        </w:rPr>
        <w:t xml:space="preserve">parágrafo único do </w:t>
      </w:r>
      <w:r w:rsidR="00AE3A15">
        <w:rPr>
          <w:rFonts w:ascii="Palatino Linotype" w:hAnsi="Palatino Linotype"/>
          <w:sz w:val="24"/>
          <w:szCs w:val="24"/>
        </w:rPr>
        <w:t>art. 2º da proposta</w:t>
      </w:r>
      <w:r w:rsidR="002C0734">
        <w:rPr>
          <w:rFonts w:ascii="Palatino Linotype" w:hAnsi="Palatino Linotype"/>
          <w:sz w:val="24"/>
          <w:szCs w:val="24"/>
        </w:rPr>
        <w:t>.</w:t>
      </w:r>
    </w:p>
    <w:p w:rsidR="00446928" w:rsidRDefault="00446928" w:rsidP="0044692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C42F7" w:rsidRDefault="007C42F7" w:rsidP="0044692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É o parecer. </w:t>
      </w:r>
    </w:p>
    <w:p w:rsidR="007C42F7" w:rsidRPr="00014476" w:rsidRDefault="007C42F7" w:rsidP="0044692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46928" w:rsidRPr="00014476" w:rsidRDefault="00446928" w:rsidP="00446928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Guaíba, </w:t>
      </w:r>
      <w:r w:rsidR="000E01C6">
        <w:rPr>
          <w:rFonts w:ascii="Palatino Linotype" w:hAnsi="Palatino Linotype"/>
          <w:sz w:val="24"/>
          <w:szCs w:val="24"/>
        </w:rPr>
        <w:t>06</w:t>
      </w:r>
      <w:r w:rsidR="00266F6F">
        <w:rPr>
          <w:rFonts w:ascii="Palatino Linotype" w:hAnsi="Palatino Linotype"/>
          <w:sz w:val="24"/>
          <w:szCs w:val="24"/>
        </w:rPr>
        <w:t xml:space="preserve"> </w:t>
      </w:r>
      <w:r w:rsidR="0049257B" w:rsidRPr="00014476">
        <w:rPr>
          <w:rFonts w:ascii="Palatino Linotype" w:hAnsi="Palatino Linotype"/>
          <w:sz w:val="24"/>
          <w:szCs w:val="24"/>
        </w:rPr>
        <w:t xml:space="preserve">de </w:t>
      </w:r>
      <w:r w:rsidR="000E01C6">
        <w:rPr>
          <w:rFonts w:ascii="Palatino Linotype" w:hAnsi="Palatino Linotype"/>
          <w:sz w:val="24"/>
          <w:szCs w:val="24"/>
        </w:rPr>
        <w:t>julh</w:t>
      </w:r>
      <w:r w:rsidR="0049257B" w:rsidRPr="00014476">
        <w:rPr>
          <w:rFonts w:ascii="Palatino Linotype" w:hAnsi="Palatino Linotype"/>
          <w:sz w:val="24"/>
          <w:szCs w:val="24"/>
        </w:rPr>
        <w:t>o de 20</w:t>
      </w:r>
      <w:r w:rsidR="00154A45" w:rsidRPr="00014476">
        <w:rPr>
          <w:rFonts w:ascii="Palatino Linotype" w:hAnsi="Palatino Linotype"/>
          <w:sz w:val="24"/>
          <w:szCs w:val="24"/>
        </w:rPr>
        <w:t>2</w:t>
      </w:r>
      <w:r w:rsidR="00601308">
        <w:rPr>
          <w:rFonts w:ascii="Palatino Linotype" w:hAnsi="Palatino Linotype"/>
          <w:sz w:val="24"/>
          <w:szCs w:val="24"/>
        </w:rPr>
        <w:t>3</w:t>
      </w:r>
      <w:r w:rsidR="0049257B" w:rsidRPr="00014476">
        <w:rPr>
          <w:rFonts w:ascii="Palatino Linotype" w:hAnsi="Palatino Linotype"/>
          <w:sz w:val="24"/>
          <w:szCs w:val="24"/>
        </w:rPr>
        <w:t>.</w:t>
      </w:r>
    </w:p>
    <w:p w:rsidR="00446928" w:rsidRPr="00014476" w:rsidRDefault="00446928" w:rsidP="00446928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BC5779" w:rsidRPr="00014476" w:rsidRDefault="00BC5779" w:rsidP="00BC5779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14476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BC5779" w:rsidRPr="00014476" w:rsidRDefault="00BC5779" w:rsidP="00BC5779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 xml:space="preserve">Procurador-Geral </w:t>
      </w:r>
    </w:p>
    <w:p w:rsidR="00BC5779" w:rsidRPr="00014476" w:rsidRDefault="00BC5779" w:rsidP="003E5FF6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14476">
        <w:rPr>
          <w:rFonts w:ascii="Palatino Linotype" w:hAnsi="Palatino Linotype"/>
          <w:sz w:val="24"/>
          <w:szCs w:val="24"/>
        </w:rPr>
        <w:t>OAB/RS 107.136</w:t>
      </w:r>
    </w:p>
    <w:sectPr w:rsidR="00BC5779" w:rsidRPr="00014476" w:rsidSect="00BC5779">
      <w:headerReference w:type="default" r:id="rId8"/>
      <w:footerReference w:type="default" r:id="rId9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93E" w:rsidRDefault="006D693E" w:rsidP="00B365A3">
      <w:pPr>
        <w:spacing w:after="0" w:line="240" w:lineRule="auto"/>
      </w:pPr>
      <w:r>
        <w:separator/>
      </w:r>
    </w:p>
  </w:endnote>
  <w:endnote w:type="continuationSeparator" w:id="1">
    <w:p w:rsidR="006D693E" w:rsidRDefault="006D693E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40516"/>
      <w:docPartObj>
        <w:docPartGallery w:val="Page Numbers (Bottom of Page)"/>
        <w:docPartUnique/>
      </w:docPartObj>
    </w:sdtPr>
    <w:sdtContent>
      <w:p w:rsidR="00D53C61" w:rsidRDefault="00065912">
        <w:pPr>
          <w:pStyle w:val="Rodap"/>
          <w:jc w:val="right"/>
        </w:pPr>
        <w:fldSimple w:instr=" PAGE   \* MERGEFORMAT ">
          <w:r w:rsidR="007C42F7">
            <w:rPr>
              <w:noProof/>
            </w:rPr>
            <w:t>7</w:t>
          </w:r>
        </w:fldSimple>
      </w:p>
    </w:sdtContent>
  </w:sdt>
  <w:p w:rsidR="00D53C61" w:rsidRDefault="00D53C6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93E" w:rsidRDefault="006D693E" w:rsidP="00B365A3">
      <w:pPr>
        <w:spacing w:after="0" w:line="240" w:lineRule="auto"/>
      </w:pPr>
      <w:r>
        <w:separator/>
      </w:r>
    </w:p>
  </w:footnote>
  <w:footnote w:type="continuationSeparator" w:id="1">
    <w:p w:rsidR="006D693E" w:rsidRDefault="006D693E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C61" w:rsidRDefault="00D53C61" w:rsidP="00BC5779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1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53C61" w:rsidRDefault="00D53C61" w:rsidP="00BC5779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18"/>
      </w:rPr>
    </w:pPr>
    <w:r w:rsidRPr="009575A3">
      <w:rPr>
        <w:rFonts w:ascii="Century Schoolbook" w:hAnsi="Century Schoolbook"/>
        <w:b/>
        <w:sz w:val="18"/>
      </w:rPr>
      <w:t>PROCURADORIA JURÍDICA</w:t>
    </w:r>
  </w:p>
  <w:p w:rsidR="00D53C61" w:rsidRDefault="00D53C61" w:rsidP="00BC5779">
    <w:pPr>
      <w:pStyle w:val="Cabealho"/>
      <w:jc w:val="center"/>
      <w:rPr>
        <w:rFonts w:ascii="Century Schoolbook" w:hAnsi="Century Schoolbook"/>
        <w:b/>
        <w:sz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14476"/>
    <w:rsid w:val="00032713"/>
    <w:rsid w:val="00036900"/>
    <w:rsid w:val="00036BC1"/>
    <w:rsid w:val="00052488"/>
    <w:rsid w:val="00065434"/>
    <w:rsid w:val="00065912"/>
    <w:rsid w:val="000714D3"/>
    <w:rsid w:val="00072850"/>
    <w:rsid w:val="00075FF3"/>
    <w:rsid w:val="00076D85"/>
    <w:rsid w:val="0008504E"/>
    <w:rsid w:val="00093E6D"/>
    <w:rsid w:val="00093F82"/>
    <w:rsid w:val="000968E4"/>
    <w:rsid w:val="000B0992"/>
    <w:rsid w:val="000C6718"/>
    <w:rsid w:val="000E01C6"/>
    <w:rsid w:val="000F08AB"/>
    <w:rsid w:val="00110DB4"/>
    <w:rsid w:val="001144C0"/>
    <w:rsid w:val="001228DF"/>
    <w:rsid w:val="00154A45"/>
    <w:rsid w:val="0018794E"/>
    <w:rsid w:val="001A0998"/>
    <w:rsid w:val="001B3BC5"/>
    <w:rsid w:val="001D3199"/>
    <w:rsid w:val="001E0D79"/>
    <w:rsid w:val="001F05EE"/>
    <w:rsid w:val="001F5FE9"/>
    <w:rsid w:val="001F6BDB"/>
    <w:rsid w:val="00202639"/>
    <w:rsid w:val="00257C26"/>
    <w:rsid w:val="00266F6F"/>
    <w:rsid w:val="002C0734"/>
    <w:rsid w:val="002E6A65"/>
    <w:rsid w:val="003071E3"/>
    <w:rsid w:val="003355AE"/>
    <w:rsid w:val="003617F4"/>
    <w:rsid w:val="00371666"/>
    <w:rsid w:val="00387D24"/>
    <w:rsid w:val="003A288D"/>
    <w:rsid w:val="003B745D"/>
    <w:rsid w:val="003D264B"/>
    <w:rsid w:val="003E5FF6"/>
    <w:rsid w:val="00405170"/>
    <w:rsid w:val="0041616C"/>
    <w:rsid w:val="00446928"/>
    <w:rsid w:val="00447D2C"/>
    <w:rsid w:val="004527B3"/>
    <w:rsid w:val="00457809"/>
    <w:rsid w:val="0049257B"/>
    <w:rsid w:val="004A6B51"/>
    <w:rsid w:val="004B6D0B"/>
    <w:rsid w:val="004C31B1"/>
    <w:rsid w:val="004C4A2F"/>
    <w:rsid w:val="00517C2D"/>
    <w:rsid w:val="0054047A"/>
    <w:rsid w:val="00565C7F"/>
    <w:rsid w:val="00597EBE"/>
    <w:rsid w:val="005A0B6F"/>
    <w:rsid w:val="005C0121"/>
    <w:rsid w:val="00601308"/>
    <w:rsid w:val="00620F14"/>
    <w:rsid w:val="00632205"/>
    <w:rsid w:val="00640DEC"/>
    <w:rsid w:val="006416DA"/>
    <w:rsid w:val="00664078"/>
    <w:rsid w:val="00667BD0"/>
    <w:rsid w:val="0067001F"/>
    <w:rsid w:val="00672288"/>
    <w:rsid w:val="00673634"/>
    <w:rsid w:val="00683721"/>
    <w:rsid w:val="006B138B"/>
    <w:rsid w:val="006C0135"/>
    <w:rsid w:val="006D693E"/>
    <w:rsid w:val="006E4357"/>
    <w:rsid w:val="006E6EC4"/>
    <w:rsid w:val="007324E9"/>
    <w:rsid w:val="00733C23"/>
    <w:rsid w:val="0073609A"/>
    <w:rsid w:val="00737603"/>
    <w:rsid w:val="00741538"/>
    <w:rsid w:val="007520A0"/>
    <w:rsid w:val="00752F5F"/>
    <w:rsid w:val="00783EB8"/>
    <w:rsid w:val="007854E6"/>
    <w:rsid w:val="007B6E08"/>
    <w:rsid w:val="007C175F"/>
    <w:rsid w:val="007C42F7"/>
    <w:rsid w:val="007C750C"/>
    <w:rsid w:val="007D3492"/>
    <w:rsid w:val="007D3A16"/>
    <w:rsid w:val="007D4A3A"/>
    <w:rsid w:val="007E5141"/>
    <w:rsid w:val="007F3096"/>
    <w:rsid w:val="007F3B67"/>
    <w:rsid w:val="00803A9A"/>
    <w:rsid w:val="00811016"/>
    <w:rsid w:val="008138B2"/>
    <w:rsid w:val="00814386"/>
    <w:rsid w:val="008165C9"/>
    <w:rsid w:val="0081756C"/>
    <w:rsid w:val="00820BFB"/>
    <w:rsid w:val="00822BF6"/>
    <w:rsid w:val="00842023"/>
    <w:rsid w:val="008426D4"/>
    <w:rsid w:val="00847C81"/>
    <w:rsid w:val="00851EF3"/>
    <w:rsid w:val="00852AAE"/>
    <w:rsid w:val="00854130"/>
    <w:rsid w:val="00863C04"/>
    <w:rsid w:val="00867DB8"/>
    <w:rsid w:val="00882398"/>
    <w:rsid w:val="00894E89"/>
    <w:rsid w:val="008A02A8"/>
    <w:rsid w:val="008A4D1F"/>
    <w:rsid w:val="008B401D"/>
    <w:rsid w:val="008E027D"/>
    <w:rsid w:val="008E2471"/>
    <w:rsid w:val="008E2A25"/>
    <w:rsid w:val="008F6E60"/>
    <w:rsid w:val="00905B60"/>
    <w:rsid w:val="00955F4C"/>
    <w:rsid w:val="00965DF3"/>
    <w:rsid w:val="009677B1"/>
    <w:rsid w:val="009762CB"/>
    <w:rsid w:val="00995BCD"/>
    <w:rsid w:val="009A1232"/>
    <w:rsid w:val="009B7D3B"/>
    <w:rsid w:val="009D54C8"/>
    <w:rsid w:val="009E03A3"/>
    <w:rsid w:val="009F5D61"/>
    <w:rsid w:val="00A04BF4"/>
    <w:rsid w:val="00A23561"/>
    <w:rsid w:val="00A25B2C"/>
    <w:rsid w:val="00A25FA3"/>
    <w:rsid w:val="00A26F1D"/>
    <w:rsid w:val="00A27914"/>
    <w:rsid w:val="00A53922"/>
    <w:rsid w:val="00A77DF1"/>
    <w:rsid w:val="00A808BC"/>
    <w:rsid w:val="00A91A8F"/>
    <w:rsid w:val="00AB73AF"/>
    <w:rsid w:val="00AE3A15"/>
    <w:rsid w:val="00AE7283"/>
    <w:rsid w:val="00AF6E8B"/>
    <w:rsid w:val="00B2124F"/>
    <w:rsid w:val="00B31AD1"/>
    <w:rsid w:val="00B365A3"/>
    <w:rsid w:val="00B44313"/>
    <w:rsid w:val="00B45FDB"/>
    <w:rsid w:val="00B6284D"/>
    <w:rsid w:val="00B70FAE"/>
    <w:rsid w:val="00B962FC"/>
    <w:rsid w:val="00BB542D"/>
    <w:rsid w:val="00BB797F"/>
    <w:rsid w:val="00BC0B5E"/>
    <w:rsid w:val="00BC5779"/>
    <w:rsid w:val="00BE3D13"/>
    <w:rsid w:val="00C000CF"/>
    <w:rsid w:val="00C022E8"/>
    <w:rsid w:val="00C0390B"/>
    <w:rsid w:val="00C07345"/>
    <w:rsid w:val="00C12338"/>
    <w:rsid w:val="00C21195"/>
    <w:rsid w:val="00C233D4"/>
    <w:rsid w:val="00C72C1D"/>
    <w:rsid w:val="00C7445E"/>
    <w:rsid w:val="00CA219B"/>
    <w:rsid w:val="00CB0819"/>
    <w:rsid w:val="00CB71FF"/>
    <w:rsid w:val="00CD24CA"/>
    <w:rsid w:val="00CE7116"/>
    <w:rsid w:val="00CF2C76"/>
    <w:rsid w:val="00CF2F22"/>
    <w:rsid w:val="00D32B92"/>
    <w:rsid w:val="00D4059C"/>
    <w:rsid w:val="00D41749"/>
    <w:rsid w:val="00D43D8F"/>
    <w:rsid w:val="00D53C61"/>
    <w:rsid w:val="00D6518A"/>
    <w:rsid w:val="00D70850"/>
    <w:rsid w:val="00D84117"/>
    <w:rsid w:val="00D96138"/>
    <w:rsid w:val="00D967B1"/>
    <w:rsid w:val="00DA6683"/>
    <w:rsid w:val="00DA7A73"/>
    <w:rsid w:val="00DB0548"/>
    <w:rsid w:val="00DB4D33"/>
    <w:rsid w:val="00DC0FFE"/>
    <w:rsid w:val="00DD3F5B"/>
    <w:rsid w:val="00DE2E53"/>
    <w:rsid w:val="00E03304"/>
    <w:rsid w:val="00E055C9"/>
    <w:rsid w:val="00E1314F"/>
    <w:rsid w:val="00E40B3A"/>
    <w:rsid w:val="00E501C1"/>
    <w:rsid w:val="00E5368A"/>
    <w:rsid w:val="00E74229"/>
    <w:rsid w:val="00E931DA"/>
    <w:rsid w:val="00EA1EC5"/>
    <w:rsid w:val="00EB6550"/>
    <w:rsid w:val="00F00675"/>
    <w:rsid w:val="00F23EA1"/>
    <w:rsid w:val="00F36828"/>
    <w:rsid w:val="00F434E4"/>
    <w:rsid w:val="00F6334E"/>
    <w:rsid w:val="00F6465F"/>
    <w:rsid w:val="00F67B24"/>
    <w:rsid w:val="00F85172"/>
    <w:rsid w:val="00F94625"/>
    <w:rsid w:val="00FA2949"/>
    <w:rsid w:val="00FA78D8"/>
    <w:rsid w:val="00FB1678"/>
    <w:rsid w:val="00FB1DF2"/>
    <w:rsid w:val="00FB3CF0"/>
    <w:rsid w:val="00FC4FA4"/>
    <w:rsid w:val="00FF1F37"/>
    <w:rsid w:val="00FF2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  <w:style w:type="character" w:styleId="Forte">
    <w:name w:val="Strong"/>
    <w:basedOn w:val="Fontepargpadro"/>
    <w:uiPriority w:val="22"/>
    <w:qFormat/>
    <w:rsid w:val="00D53C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0619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2310D-3A92-48D3-95AB-274C77B9A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1844</Words>
  <Characters>9960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20</cp:revision>
  <dcterms:created xsi:type="dcterms:W3CDTF">2023-07-06T19:27:00Z</dcterms:created>
  <dcterms:modified xsi:type="dcterms:W3CDTF">2023-07-06T19:47:00Z</dcterms:modified>
</cp:coreProperties>
</file>