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5B60" w:rsidRPr="00CB6FAB" w:rsidRDefault="00905B60" w:rsidP="00B365A3">
      <w:pPr>
        <w:spacing w:after="0" w:line="360" w:lineRule="auto"/>
        <w:jc w:val="center"/>
        <w:rPr>
          <w:rFonts w:ascii="Palatino Linotype" w:hAnsi="Palatino Linotype"/>
          <w:sz w:val="24"/>
          <w:szCs w:val="24"/>
        </w:rPr>
      </w:pPr>
    </w:p>
    <w:p w:rsidR="00B365A3" w:rsidRPr="00CB6FAB" w:rsidRDefault="008138B2" w:rsidP="003730A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center"/>
        <w:rPr>
          <w:rFonts w:ascii="Palatino Linotype" w:hAnsi="Palatino Linotype"/>
          <w:b/>
          <w:sz w:val="24"/>
          <w:szCs w:val="24"/>
        </w:rPr>
      </w:pPr>
      <w:r w:rsidRPr="00CB6FAB">
        <w:rPr>
          <w:rFonts w:ascii="Palatino Linotype" w:hAnsi="Palatino Linotype"/>
          <w:b/>
          <w:sz w:val="24"/>
          <w:szCs w:val="24"/>
        </w:rPr>
        <w:t>PARECER JURÍDICO</w:t>
      </w:r>
      <w:r w:rsidR="00CB6FAB" w:rsidRPr="00CB6FAB">
        <w:rPr>
          <w:rFonts w:ascii="Palatino Linotype" w:hAnsi="Palatino Linotype"/>
          <w:b/>
          <w:sz w:val="24"/>
          <w:szCs w:val="24"/>
        </w:rPr>
        <w:t xml:space="preserve"> Nº 31</w:t>
      </w:r>
      <w:r w:rsidR="006F7458">
        <w:rPr>
          <w:rFonts w:ascii="Palatino Linotype" w:hAnsi="Palatino Linotype"/>
          <w:b/>
          <w:sz w:val="24"/>
          <w:szCs w:val="24"/>
        </w:rPr>
        <w:t>5</w:t>
      </w:r>
      <w:r w:rsidR="00CB6FAB" w:rsidRPr="00CB6FAB">
        <w:rPr>
          <w:rFonts w:ascii="Palatino Linotype" w:hAnsi="Palatino Linotype"/>
          <w:b/>
          <w:sz w:val="24"/>
          <w:szCs w:val="24"/>
        </w:rPr>
        <w:t>/2023</w:t>
      </w:r>
    </w:p>
    <w:p w:rsidR="008138B2" w:rsidRPr="00CB6FAB" w:rsidRDefault="008138B2" w:rsidP="008138B2">
      <w:pPr>
        <w:spacing w:after="0" w:line="360" w:lineRule="auto"/>
        <w:jc w:val="center"/>
        <w:rPr>
          <w:rFonts w:ascii="Palatino Linotype" w:hAnsi="Palatino Linotype"/>
          <w:b/>
          <w:sz w:val="24"/>
          <w:szCs w:val="24"/>
        </w:rPr>
      </w:pPr>
    </w:p>
    <w:p w:rsidR="008138B2" w:rsidRPr="00CB6FAB" w:rsidRDefault="00F85172" w:rsidP="008138B2">
      <w:pPr>
        <w:pStyle w:val="PargrafodaLista"/>
        <w:numPr>
          <w:ilvl w:val="0"/>
          <w:numId w:val="1"/>
        </w:numPr>
        <w:spacing w:after="0" w:line="360" w:lineRule="auto"/>
        <w:jc w:val="both"/>
        <w:rPr>
          <w:rFonts w:ascii="Palatino Linotype" w:hAnsi="Palatino Linotype"/>
          <w:b/>
          <w:sz w:val="24"/>
          <w:szCs w:val="24"/>
        </w:rPr>
      </w:pPr>
      <w:r w:rsidRPr="00CB6FAB">
        <w:rPr>
          <w:rFonts w:ascii="Palatino Linotype" w:hAnsi="Palatino Linotype"/>
          <w:b/>
          <w:sz w:val="24"/>
          <w:szCs w:val="24"/>
        </w:rPr>
        <w:t>RELATÓRIO</w:t>
      </w:r>
    </w:p>
    <w:p w:rsidR="008138B2" w:rsidRPr="00CB6FAB" w:rsidRDefault="008138B2" w:rsidP="008138B2">
      <w:pPr>
        <w:spacing w:after="0" w:line="360" w:lineRule="auto"/>
        <w:jc w:val="both"/>
        <w:rPr>
          <w:rFonts w:ascii="Palatino Linotype" w:hAnsi="Palatino Linotype"/>
          <w:b/>
          <w:sz w:val="24"/>
          <w:szCs w:val="24"/>
        </w:rPr>
      </w:pPr>
    </w:p>
    <w:p w:rsidR="00FC73BE" w:rsidRPr="00CB6FAB" w:rsidRDefault="001E0ECC" w:rsidP="008138B2">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O Projeto de Lei</w:t>
      </w:r>
      <w:r w:rsidR="00CB6FAB">
        <w:rPr>
          <w:rFonts w:ascii="Palatino Linotype" w:hAnsi="Palatino Linotype"/>
          <w:sz w:val="24"/>
          <w:szCs w:val="24"/>
        </w:rPr>
        <w:t xml:space="preserve"> do Legislativo</w:t>
      </w:r>
      <w:r w:rsidRPr="00CB6FAB">
        <w:rPr>
          <w:rFonts w:ascii="Palatino Linotype" w:hAnsi="Palatino Linotype"/>
          <w:sz w:val="24"/>
          <w:szCs w:val="24"/>
        </w:rPr>
        <w:t xml:space="preserve"> n.º </w:t>
      </w:r>
      <w:r w:rsidR="00CB6FAB">
        <w:rPr>
          <w:rFonts w:ascii="Palatino Linotype" w:hAnsi="Palatino Linotype"/>
          <w:sz w:val="24"/>
          <w:szCs w:val="24"/>
        </w:rPr>
        <w:t>143</w:t>
      </w:r>
      <w:r w:rsidRPr="00CB6FAB">
        <w:rPr>
          <w:rFonts w:ascii="Palatino Linotype" w:hAnsi="Palatino Linotype"/>
          <w:sz w:val="24"/>
          <w:szCs w:val="24"/>
        </w:rPr>
        <w:t>/202</w:t>
      </w:r>
      <w:r w:rsidR="00CB6FAB">
        <w:rPr>
          <w:rFonts w:ascii="Palatino Linotype" w:hAnsi="Palatino Linotype"/>
          <w:sz w:val="24"/>
          <w:szCs w:val="24"/>
        </w:rPr>
        <w:t>3</w:t>
      </w:r>
      <w:r w:rsidRPr="00CB6FAB">
        <w:rPr>
          <w:rFonts w:ascii="Palatino Linotype" w:hAnsi="Palatino Linotype"/>
          <w:sz w:val="24"/>
          <w:szCs w:val="24"/>
        </w:rPr>
        <w:t xml:space="preserve">, de autoria do Vereador </w:t>
      </w:r>
      <w:r w:rsidR="00CB6FAB">
        <w:rPr>
          <w:rFonts w:ascii="Palatino Linotype" w:hAnsi="Palatino Linotype"/>
          <w:sz w:val="24"/>
          <w:szCs w:val="24"/>
        </w:rPr>
        <w:t xml:space="preserve">Ale Alves </w:t>
      </w:r>
      <w:r w:rsidRPr="00CB6FAB">
        <w:rPr>
          <w:rFonts w:ascii="Palatino Linotype" w:hAnsi="Palatino Linotype"/>
          <w:sz w:val="24"/>
          <w:szCs w:val="24"/>
        </w:rPr>
        <w:t>(P</w:t>
      </w:r>
      <w:r w:rsidR="00CB6FAB">
        <w:rPr>
          <w:rFonts w:ascii="Palatino Linotype" w:hAnsi="Palatino Linotype"/>
          <w:sz w:val="24"/>
          <w:szCs w:val="24"/>
        </w:rPr>
        <w:t>DT</w:t>
      </w:r>
      <w:r w:rsidRPr="00CB6FAB">
        <w:rPr>
          <w:rFonts w:ascii="Palatino Linotype" w:hAnsi="Palatino Linotype"/>
          <w:sz w:val="24"/>
          <w:szCs w:val="24"/>
        </w:rPr>
        <w:t>), que “</w:t>
      </w:r>
      <w:r w:rsidR="00314786" w:rsidRPr="00314786">
        <w:rPr>
          <w:rFonts w:ascii="Palatino Linotype" w:hAnsi="Palatino Linotype"/>
          <w:sz w:val="24"/>
          <w:szCs w:val="24"/>
        </w:rPr>
        <w:t>Dispõe sobre isenção a pessoa de deficiência física, do pagamento da taxa de inscrição em concursos públicos promovidos pelos Órgãos Públicos M</w:t>
      </w:r>
      <w:r w:rsidR="00314786" w:rsidRPr="00314786">
        <w:rPr>
          <w:rFonts w:ascii="Palatino Linotype" w:hAnsi="Palatino Linotype"/>
          <w:sz w:val="24"/>
          <w:szCs w:val="24"/>
        </w:rPr>
        <w:t>u</w:t>
      </w:r>
      <w:r w:rsidR="00314786" w:rsidRPr="00314786">
        <w:rPr>
          <w:rFonts w:ascii="Palatino Linotype" w:hAnsi="Palatino Linotype"/>
          <w:sz w:val="24"/>
          <w:szCs w:val="24"/>
        </w:rPr>
        <w:t>nicipais, em Guaíba/RS e dá outras providências</w:t>
      </w:r>
      <w:r w:rsidRPr="00CB6FAB">
        <w:rPr>
          <w:rFonts w:ascii="Palatino Linotype" w:hAnsi="Palatino Linotype"/>
          <w:sz w:val="24"/>
          <w:szCs w:val="24"/>
        </w:rPr>
        <w:t>”, foi encaminhado a esta Procur</w:t>
      </w:r>
      <w:r w:rsidRPr="00CB6FAB">
        <w:rPr>
          <w:rFonts w:ascii="Palatino Linotype" w:hAnsi="Palatino Linotype"/>
          <w:sz w:val="24"/>
          <w:szCs w:val="24"/>
        </w:rPr>
        <w:t>a</w:t>
      </w:r>
      <w:r w:rsidRPr="00CB6FAB">
        <w:rPr>
          <w:rFonts w:ascii="Palatino Linotype" w:hAnsi="Palatino Linotype"/>
          <w:sz w:val="24"/>
          <w:szCs w:val="24"/>
        </w:rPr>
        <w:t xml:space="preserve">doria Jurídica pelo Presidente da Câmara Municipal para análise com fulcro no art. </w:t>
      </w:r>
      <w:r w:rsidR="00CB6FAB">
        <w:rPr>
          <w:rFonts w:ascii="Palatino Linotype" w:hAnsi="Palatino Linotype"/>
          <w:sz w:val="24"/>
          <w:szCs w:val="24"/>
        </w:rPr>
        <w:t>94</w:t>
      </w:r>
      <w:r w:rsidR="006F7458">
        <w:rPr>
          <w:rFonts w:ascii="Palatino Linotype" w:hAnsi="Palatino Linotype"/>
          <w:sz w:val="24"/>
          <w:szCs w:val="24"/>
        </w:rPr>
        <w:t xml:space="preserve"> do Regimento Interno</w:t>
      </w:r>
      <w:r w:rsidRPr="00CB6FAB">
        <w:rPr>
          <w:rFonts w:ascii="Palatino Linotype" w:hAnsi="Palatino Linotype"/>
          <w:sz w:val="24"/>
          <w:szCs w:val="24"/>
        </w:rPr>
        <w:t>.</w:t>
      </w:r>
    </w:p>
    <w:p w:rsidR="001E0ECC" w:rsidRPr="00CB6FAB" w:rsidRDefault="001E0ECC" w:rsidP="008138B2">
      <w:pPr>
        <w:spacing w:after="0" w:line="360" w:lineRule="auto"/>
        <w:ind w:firstLine="1134"/>
        <w:jc w:val="both"/>
        <w:rPr>
          <w:rFonts w:ascii="Palatino Linotype" w:hAnsi="Palatino Linotype"/>
          <w:sz w:val="24"/>
          <w:szCs w:val="24"/>
        </w:rPr>
      </w:pPr>
    </w:p>
    <w:p w:rsidR="008138B2" w:rsidRPr="00CB6FAB" w:rsidRDefault="00684934" w:rsidP="008138B2">
      <w:pPr>
        <w:pStyle w:val="PargrafodaLista"/>
        <w:numPr>
          <w:ilvl w:val="0"/>
          <w:numId w:val="1"/>
        </w:numPr>
        <w:spacing w:after="0" w:line="360" w:lineRule="auto"/>
        <w:jc w:val="both"/>
        <w:rPr>
          <w:rFonts w:ascii="Palatino Linotype" w:hAnsi="Palatino Linotype"/>
          <w:b/>
          <w:sz w:val="24"/>
          <w:szCs w:val="24"/>
        </w:rPr>
      </w:pPr>
      <w:r w:rsidRPr="00CB6FAB">
        <w:rPr>
          <w:rFonts w:ascii="Palatino Linotype" w:hAnsi="Palatino Linotype"/>
          <w:b/>
          <w:sz w:val="24"/>
          <w:szCs w:val="24"/>
        </w:rPr>
        <w:t>MÉRITO</w:t>
      </w:r>
    </w:p>
    <w:p w:rsidR="008138B2" w:rsidRPr="00CB6FAB" w:rsidRDefault="008138B2" w:rsidP="008138B2">
      <w:pPr>
        <w:spacing w:after="0" w:line="360" w:lineRule="auto"/>
        <w:jc w:val="both"/>
        <w:rPr>
          <w:rFonts w:ascii="Palatino Linotype" w:hAnsi="Palatino Linotype"/>
          <w:b/>
          <w:sz w:val="24"/>
          <w:szCs w:val="24"/>
        </w:rPr>
      </w:pPr>
    </w:p>
    <w:p w:rsidR="003730A1" w:rsidRPr="00C2681E" w:rsidRDefault="003730A1" w:rsidP="003730A1">
      <w:pPr>
        <w:spacing w:after="0" w:line="360" w:lineRule="auto"/>
        <w:ind w:firstLine="1134"/>
        <w:jc w:val="both"/>
        <w:rPr>
          <w:rFonts w:ascii="Palatino Linotype" w:hAnsi="Palatino Linotype" w:cs="Times New Roman"/>
          <w:sz w:val="24"/>
          <w:szCs w:val="24"/>
        </w:rPr>
      </w:pPr>
      <w:r w:rsidRPr="00C2681E">
        <w:rPr>
          <w:rFonts w:ascii="Palatino Linotype" w:hAnsi="Palatino Linotype"/>
          <w:sz w:val="24"/>
          <w:szCs w:val="24"/>
        </w:rPr>
        <w:t>Preliminarmente, a norma inscrita no art. 94 do Regimento Interno da Câmara Municipal outorga ao Presidente do Legislativo a possibilidade de devol</w:t>
      </w:r>
      <w:r w:rsidRPr="00C2681E">
        <w:rPr>
          <w:rFonts w:ascii="Palatino Linotype" w:hAnsi="Palatino Linotype"/>
          <w:sz w:val="24"/>
          <w:szCs w:val="24"/>
        </w:rPr>
        <w:t>u</w:t>
      </w:r>
      <w:r w:rsidRPr="00C2681E">
        <w:rPr>
          <w:rFonts w:ascii="Palatino Linotype" w:hAnsi="Palatino Linotype"/>
          <w:sz w:val="24"/>
          <w:szCs w:val="24"/>
        </w:rPr>
        <w:t xml:space="preserve">ção ao autor de proposições maculadas por </w:t>
      </w:r>
      <w:r w:rsidRPr="00C2681E">
        <w:rPr>
          <w:rFonts w:ascii="Palatino Linotype" w:hAnsi="Palatino Linotype"/>
          <w:b/>
          <w:sz w:val="24"/>
          <w:szCs w:val="24"/>
        </w:rPr>
        <w:t>manifesta inconstitucionalidade ou il</w:t>
      </w:r>
      <w:r w:rsidRPr="00C2681E">
        <w:rPr>
          <w:rFonts w:ascii="Palatino Linotype" w:hAnsi="Palatino Linotype"/>
          <w:b/>
          <w:sz w:val="24"/>
          <w:szCs w:val="24"/>
        </w:rPr>
        <w:t>e</w:t>
      </w:r>
      <w:r w:rsidRPr="00C2681E">
        <w:rPr>
          <w:rFonts w:ascii="Palatino Linotype" w:hAnsi="Palatino Linotype"/>
          <w:b/>
          <w:sz w:val="24"/>
          <w:szCs w:val="24"/>
        </w:rPr>
        <w:t>galidade</w:t>
      </w:r>
      <w:r w:rsidRPr="00C2681E">
        <w:rPr>
          <w:rFonts w:ascii="Palatino Linotype" w:hAnsi="Palatino Linotype" w:cs="Times New Roman"/>
          <w:sz w:val="24"/>
          <w:szCs w:val="24"/>
        </w:rPr>
        <w:t>. Solução análoga é encontrada no Regimento Interno da Câmara dos Dep</w:t>
      </w:r>
      <w:r w:rsidRPr="00C2681E">
        <w:rPr>
          <w:rFonts w:ascii="Palatino Linotype" w:hAnsi="Palatino Linotype" w:cs="Times New Roman"/>
          <w:sz w:val="24"/>
          <w:szCs w:val="24"/>
        </w:rPr>
        <w:t>u</w:t>
      </w:r>
      <w:r w:rsidRPr="00C2681E">
        <w:rPr>
          <w:rFonts w:ascii="Palatino Linotype" w:hAnsi="Palatino Linotype" w:cs="Times New Roman"/>
          <w:sz w:val="24"/>
          <w:szCs w:val="24"/>
        </w:rPr>
        <w:t>tados (art. 137, §1º), no Regimento Interno do Senado Federal (art. 48, XI) e em dive</w:t>
      </w:r>
      <w:r w:rsidRPr="00C2681E">
        <w:rPr>
          <w:rFonts w:ascii="Palatino Linotype" w:hAnsi="Palatino Linotype" w:cs="Times New Roman"/>
          <w:sz w:val="24"/>
          <w:szCs w:val="24"/>
        </w:rPr>
        <w:t>r</w:t>
      </w:r>
      <w:r w:rsidRPr="00C2681E">
        <w:rPr>
          <w:rFonts w:ascii="Palatino Linotype" w:hAnsi="Palatino Linotype" w:cs="Times New Roman"/>
          <w:sz w:val="24"/>
          <w:szCs w:val="24"/>
        </w:rPr>
        <w:t>sos outros regimentos de casas legislativas pátrias.</w:t>
      </w:r>
    </w:p>
    <w:p w:rsidR="003730A1" w:rsidRPr="00C2681E" w:rsidRDefault="003730A1" w:rsidP="003730A1">
      <w:pPr>
        <w:spacing w:after="0" w:line="360" w:lineRule="auto"/>
        <w:ind w:firstLine="1134"/>
        <w:jc w:val="both"/>
        <w:rPr>
          <w:rFonts w:ascii="Palatino Linotype" w:hAnsi="Palatino Linotype" w:cs="Times New Roman"/>
          <w:sz w:val="24"/>
          <w:szCs w:val="24"/>
        </w:rPr>
      </w:pPr>
    </w:p>
    <w:p w:rsidR="003730A1" w:rsidRPr="00C2681E" w:rsidRDefault="003730A1" w:rsidP="003730A1">
      <w:pPr>
        <w:spacing w:after="0" w:line="360" w:lineRule="auto"/>
        <w:ind w:firstLine="1134"/>
        <w:jc w:val="both"/>
        <w:rPr>
          <w:rFonts w:ascii="Palatino Linotype" w:hAnsi="Palatino Linotype"/>
          <w:sz w:val="24"/>
          <w:szCs w:val="24"/>
        </w:rPr>
      </w:pPr>
      <w:r w:rsidRPr="00C2681E">
        <w:rPr>
          <w:rFonts w:ascii="Palatino Linotype" w:hAnsi="Palatino Linotype"/>
          <w:sz w:val="24"/>
          <w:szCs w:val="24"/>
        </w:rPr>
        <w:t>A doutrina caracteriza a norma inscrita no art. 94 do Regimento Interno como um instrumento do controle de constitucionalidade preventivo, desempenhado pelo Parlamento, por meio de exame superficial pela Presidência da Mesa Diretora, antes que a proposição legislativa tenha seu trâmite regimental. A devolução perfaz-se por despacho fundamentado da Presidência, com direito a recurso ao proponente.</w:t>
      </w:r>
    </w:p>
    <w:p w:rsidR="001E0ECC" w:rsidRPr="00CB6FAB" w:rsidRDefault="001E0ECC" w:rsidP="00AE7283">
      <w:pPr>
        <w:spacing w:after="0" w:line="360" w:lineRule="auto"/>
        <w:ind w:firstLine="1134"/>
        <w:jc w:val="both"/>
        <w:rPr>
          <w:rFonts w:ascii="Palatino Linotype" w:hAnsi="Palatino Linotype"/>
          <w:sz w:val="24"/>
          <w:szCs w:val="24"/>
        </w:rPr>
      </w:pPr>
    </w:p>
    <w:p w:rsidR="002E6A65" w:rsidRPr="00CB6FAB" w:rsidRDefault="002E6A65" w:rsidP="00AE7283">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lastRenderedPageBreak/>
        <w:t>O artigo 18 da Constituição Federal de 1988, inaugurando o tema da org</w:t>
      </w:r>
      <w:r w:rsidRPr="00CB6FAB">
        <w:rPr>
          <w:rFonts w:ascii="Palatino Linotype" w:hAnsi="Palatino Linotype"/>
          <w:sz w:val="24"/>
          <w:szCs w:val="24"/>
        </w:rPr>
        <w:t>a</w:t>
      </w:r>
      <w:r w:rsidRPr="00CB6FAB">
        <w:rPr>
          <w:rFonts w:ascii="Palatino Linotype" w:hAnsi="Palatino Linotype"/>
          <w:sz w:val="24"/>
          <w:szCs w:val="24"/>
        </w:rPr>
        <w:t>nização do Estado, prevê que “A organização político-administrativa da República Federativa do Brasil compreende a União, os Estados, o Distrito Federal e os Munic</w:t>
      </w:r>
      <w:r w:rsidRPr="00CB6FAB">
        <w:rPr>
          <w:rFonts w:ascii="Palatino Linotype" w:hAnsi="Palatino Linotype"/>
          <w:sz w:val="24"/>
          <w:szCs w:val="24"/>
        </w:rPr>
        <w:t>í</w:t>
      </w:r>
      <w:r w:rsidRPr="00CB6FAB">
        <w:rPr>
          <w:rFonts w:ascii="Palatino Linotype" w:hAnsi="Palatino Linotype"/>
          <w:sz w:val="24"/>
          <w:szCs w:val="24"/>
        </w:rPr>
        <w:t xml:space="preserve">pios, </w:t>
      </w:r>
      <w:r w:rsidRPr="00CB6FAB">
        <w:rPr>
          <w:rFonts w:ascii="Palatino Linotype" w:hAnsi="Palatino Linotype"/>
          <w:b/>
          <w:sz w:val="24"/>
          <w:szCs w:val="24"/>
        </w:rPr>
        <w:t>todos autônomos</w:t>
      </w:r>
      <w:r w:rsidRPr="00CB6FAB">
        <w:rPr>
          <w:rFonts w:ascii="Palatino Linotype" w:hAnsi="Palatino Linotype"/>
          <w:sz w:val="24"/>
          <w:szCs w:val="24"/>
        </w:rPr>
        <w:t>, nos termos desta Constituição.”</w:t>
      </w:r>
      <w:r w:rsidR="00AE7283" w:rsidRPr="00CB6FAB">
        <w:rPr>
          <w:rFonts w:ascii="Palatino Linotype" w:hAnsi="Palatino Linotype"/>
          <w:sz w:val="24"/>
          <w:szCs w:val="24"/>
        </w:rPr>
        <w:t xml:space="preserve"> O termo “autonomia polít</w:t>
      </w:r>
      <w:r w:rsidR="00AE7283" w:rsidRPr="00CB6FAB">
        <w:rPr>
          <w:rFonts w:ascii="Palatino Linotype" w:hAnsi="Palatino Linotype"/>
          <w:sz w:val="24"/>
          <w:szCs w:val="24"/>
        </w:rPr>
        <w:t>i</w:t>
      </w:r>
      <w:r w:rsidR="00AE7283" w:rsidRPr="00CB6FAB">
        <w:rPr>
          <w:rFonts w:ascii="Palatino Linotype" w:hAnsi="Palatino Linotype"/>
          <w:sz w:val="24"/>
          <w:szCs w:val="24"/>
        </w:rPr>
        <w:t>ca”, sob o ponto de vista jurídico, congrega um conjunto de capacidades c</w:t>
      </w:r>
      <w:r w:rsidR="003A288D" w:rsidRPr="00CB6FAB">
        <w:rPr>
          <w:rFonts w:ascii="Palatino Linotype" w:hAnsi="Palatino Linotype"/>
          <w:sz w:val="24"/>
          <w:szCs w:val="24"/>
        </w:rPr>
        <w:t xml:space="preserve">onferidas aos entes federados para instituir a sua organização, legislação, </w:t>
      </w:r>
      <w:r w:rsidR="00673634" w:rsidRPr="00CB6FAB">
        <w:rPr>
          <w:rFonts w:ascii="Palatino Linotype" w:hAnsi="Palatino Linotype"/>
          <w:sz w:val="24"/>
          <w:szCs w:val="24"/>
        </w:rPr>
        <w:t>a administração e o governo próprios.</w:t>
      </w:r>
    </w:p>
    <w:p w:rsidR="003A288D" w:rsidRPr="00CB6FAB" w:rsidRDefault="003A288D" w:rsidP="00AE7283">
      <w:pPr>
        <w:spacing w:after="0" w:line="360" w:lineRule="auto"/>
        <w:ind w:firstLine="1134"/>
        <w:jc w:val="both"/>
        <w:rPr>
          <w:rFonts w:ascii="Palatino Linotype" w:hAnsi="Palatino Linotype"/>
          <w:sz w:val="24"/>
          <w:szCs w:val="24"/>
        </w:rPr>
      </w:pPr>
    </w:p>
    <w:p w:rsidR="003A288D" w:rsidRPr="00CB6FAB" w:rsidRDefault="003A288D" w:rsidP="00AE7283">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 xml:space="preserve">A auto-organização dos Municípios está disciplinada, originariamente, no artigo 29, </w:t>
      </w:r>
      <w:r w:rsidRPr="00CB6FAB">
        <w:rPr>
          <w:rFonts w:ascii="Palatino Linotype" w:hAnsi="Palatino Linotype"/>
          <w:i/>
          <w:sz w:val="24"/>
          <w:szCs w:val="24"/>
        </w:rPr>
        <w:t>caput</w:t>
      </w:r>
      <w:r w:rsidRPr="00CB6FAB">
        <w:rPr>
          <w:rFonts w:ascii="Palatino Linotype" w:hAnsi="Palatino Linotype"/>
          <w:sz w:val="24"/>
          <w:szCs w:val="24"/>
        </w:rPr>
        <w:t>, da Constituição Federal, que prevê: “</w:t>
      </w:r>
      <w:r w:rsidRPr="00CB6FAB">
        <w:rPr>
          <w:rFonts w:ascii="Palatino Linotype" w:hAnsi="Palatino Linotype"/>
          <w:b/>
          <w:sz w:val="24"/>
          <w:szCs w:val="24"/>
        </w:rPr>
        <w:t>O Município reger-se-á por lei orgânica</w:t>
      </w:r>
      <w:r w:rsidRPr="00CB6FAB">
        <w:rPr>
          <w:rFonts w:ascii="Palatino Linotype" w:hAnsi="Palatino Linotype"/>
          <w:sz w:val="24"/>
          <w:szCs w:val="24"/>
        </w:rPr>
        <w:t xml:space="preserve">, votada em dois turnos, com o interstício mínimo de dez dias, e aprovada por dois terços dos membros da Câmara Municipal, que a promulgará, atendidos os princípios estabelecidos na Constituição, na Constituição do respectivo </w:t>
      </w:r>
      <w:r w:rsidR="00752F5F" w:rsidRPr="00CB6FAB">
        <w:rPr>
          <w:rFonts w:ascii="Palatino Linotype" w:hAnsi="Palatino Linotype"/>
          <w:sz w:val="24"/>
          <w:szCs w:val="24"/>
        </w:rPr>
        <w:t>Estado e os seguintes preceitos</w:t>
      </w:r>
      <w:r w:rsidRPr="00CB6FAB">
        <w:rPr>
          <w:rFonts w:ascii="Palatino Linotype" w:hAnsi="Palatino Linotype"/>
          <w:sz w:val="24"/>
          <w:szCs w:val="24"/>
        </w:rPr>
        <w:t>”</w:t>
      </w:r>
    </w:p>
    <w:p w:rsidR="003A288D" w:rsidRPr="00CB6FAB" w:rsidRDefault="003A288D" w:rsidP="00AE7283">
      <w:pPr>
        <w:spacing w:after="0" w:line="360" w:lineRule="auto"/>
        <w:ind w:firstLine="1134"/>
        <w:jc w:val="both"/>
        <w:rPr>
          <w:rFonts w:ascii="Palatino Linotype" w:hAnsi="Palatino Linotype"/>
          <w:sz w:val="24"/>
          <w:szCs w:val="24"/>
        </w:rPr>
      </w:pPr>
    </w:p>
    <w:p w:rsidR="003A288D" w:rsidRPr="00CB6FAB" w:rsidRDefault="003A288D" w:rsidP="00AE7283">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O autogoverno se expressa na existência de representantes próprios dos Poderes Executivo e Legislativo em âmbito municipal – Prefeito, Vice-Prefeito e V</w:t>
      </w:r>
      <w:r w:rsidRPr="00CB6FAB">
        <w:rPr>
          <w:rFonts w:ascii="Palatino Linotype" w:hAnsi="Palatino Linotype"/>
          <w:sz w:val="24"/>
          <w:szCs w:val="24"/>
        </w:rPr>
        <w:t>e</w:t>
      </w:r>
      <w:r w:rsidRPr="00CB6FAB">
        <w:rPr>
          <w:rFonts w:ascii="Palatino Linotype" w:hAnsi="Palatino Linotype"/>
          <w:sz w:val="24"/>
          <w:szCs w:val="24"/>
        </w:rPr>
        <w:t>readores –, que são eleitos diretamente pelo povo</w:t>
      </w:r>
      <w:r w:rsidR="00FC4FA4" w:rsidRPr="00CB6FAB">
        <w:rPr>
          <w:rFonts w:ascii="Palatino Linotype" w:hAnsi="Palatino Linotype"/>
          <w:sz w:val="24"/>
          <w:szCs w:val="24"/>
        </w:rPr>
        <w:t xml:space="preserve">. A autoadministração </w:t>
      </w:r>
      <w:r w:rsidR="00C72C1D" w:rsidRPr="00CB6FAB">
        <w:rPr>
          <w:rFonts w:ascii="Palatino Linotype" w:hAnsi="Palatino Linotype"/>
          <w:sz w:val="24"/>
          <w:szCs w:val="24"/>
        </w:rPr>
        <w:t>e a autolegi</w:t>
      </w:r>
      <w:r w:rsidR="00C72C1D" w:rsidRPr="00CB6FAB">
        <w:rPr>
          <w:rFonts w:ascii="Palatino Linotype" w:hAnsi="Palatino Linotype"/>
          <w:sz w:val="24"/>
          <w:szCs w:val="24"/>
        </w:rPr>
        <w:t>s</w:t>
      </w:r>
      <w:r w:rsidR="00C72C1D" w:rsidRPr="00CB6FAB">
        <w:rPr>
          <w:rFonts w:ascii="Palatino Linotype" w:hAnsi="Palatino Linotype"/>
          <w:sz w:val="24"/>
          <w:szCs w:val="24"/>
        </w:rPr>
        <w:t xml:space="preserve">lação </w:t>
      </w:r>
      <w:r w:rsidR="00FC4FA4" w:rsidRPr="00CB6FAB">
        <w:rPr>
          <w:rFonts w:ascii="Palatino Linotype" w:hAnsi="Palatino Linotype"/>
          <w:sz w:val="24"/>
          <w:szCs w:val="24"/>
        </w:rPr>
        <w:t>contempla</w:t>
      </w:r>
      <w:r w:rsidR="00C72C1D" w:rsidRPr="00CB6FAB">
        <w:rPr>
          <w:rFonts w:ascii="Palatino Linotype" w:hAnsi="Palatino Linotype"/>
          <w:sz w:val="24"/>
          <w:szCs w:val="24"/>
        </w:rPr>
        <w:t>m</w:t>
      </w:r>
      <w:r w:rsidR="00FC4FA4" w:rsidRPr="00CB6FAB">
        <w:rPr>
          <w:rFonts w:ascii="Palatino Linotype" w:hAnsi="Palatino Linotype"/>
          <w:sz w:val="24"/>
          <w:szCs w:val="24"/>
        </w:rPr>
        <w:t xml:space="preserve"> o conjunto de competências materiais</w:t>
      </w:r>
      <w:r w:rsidR="00C72C1D" w:rsidRPr="00CB6FAB">
        <w:rPr>
          <w:rFonts w:ascii="Palatino Linotype" w:hAnsi="Palatino Linotype"/>
          <w:sz w:val="24"/>
          <w:szCs w:val="24"/>
        </w:rPr>
        <w:t xml:space="preserve"> e legislativas</w:t>
      </w:r>
      <w:r w:rsidR="00FC4FA4" w:rsidRPr="00CB6FAB">
        <w:rPr>
          <w:rFonts w:ascii="Palatino Linotype" w:hAnsi="Palatino Linotype"/>
          <w:sz w:val="24"/>
          <w:szCs w:val="24"/>
        </w:rPr>
        <w:t xml:space="preserve"> pre</w:t>
      </w:r>
      <w:r w:rsidR="00C72C1D" w:rsidRPr="00CB6FAB">
        <w:rPr>
          <w:rFonts w:ascii="Palatino Linotype" w:hAnsi="Palatino Linotype"/>
          <w:sz w:val="24"/>
          <w:szCs w:val="24"/>
        </w:rPr>
        <w:t>vistas na Constituição Federal.</w:t>
      </w:r>
    </w:p>
    <w:p w:rsidR="00C72C1D" w:rsidRPr="00CB6FAB" w:rsidRDefault="00C72C1D" w:rsidP="001E0ECC">
      <w:pPr>
        <w:spacing w:after="0" w:line="360" w:lineRule="auto"/>
        <w:jc w:val="both"/>
        <w:rPr>
          <w:rFonts w:ascii="Palatino Linotype" w:hAnsi="Palatino Linotype"/>
          <w:sz w:val="24"/>
          <w:szCs w:val="24"/>
        </w:rPr>
      </w:pPr>
    </w:p>
    <w:p w:rsidR="00C72C1D" w:rsidRPr="00CB6FAB" w:rsidRDefault="00C72C1D" w:rsidP="00AE7283">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A respeito da autoadministração e da autolegislação, transcreve-se o artigo 30 da Constituição Federal, que enumera as competências materiais e legislativas dos Municípios:</w:t>
      </w:r>
    </w:p>
    <w:p w:rsidR="00C72C1D" w:rsidRPr="00CB6FAB" w:rsidRDefault="00C72C1D" w:rsidP="00AE7283">
      <w:pPr>
        <w:spacing w:after="0" w:line="360" w:lineRule="auto"/>
        <w:ind w:firstLine="1134"/>
        <w:jc w:val="both"/>
        <w:rPr>
          <w:rFonts w:ascii="Palatino Linotype" w:hAnsi="Palatino Linotype"/>
          <w:sz w:val="24"/>
          <w:szCs w:val="24"/>
        </w:rPr>
      </w:pPr>
    </w:p>
    <w:p w:rsidR="00C72C1D" w:rsidRPr="00CB6FAB" w:rsidRDefault="00C72C1D" w:rsidP="00C72C1D">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Art. 30. Compete aos Municípios:</w:t>
      </w:r>
    </w:p>
    <w:p w:rsidR="00C72C1D" w:rsidRPr="00CB6FAB" w:rsidRDefault="00C72C1D" w:rsidP="00C72C1D">
      <w:pPr>
        <w:spacing w:after="0" w:line="240" w:lineRule="auto"/>
        <w:ind w:left="2268"/>
        <w:jc w:val="both"/>
        <w:rPr>
          <w:rFonts w:ascii="Palatino Linotype" w:hAnsi="Palatino Linotype"/>
          <w:b/>
          <w:sz w:val="20"/>
          <w:szCs w:val="20"/>
        </w:rPr>
      </w:pPr>
      <w:r w:rsidRPr="00CB6FAB">
        <w:rPr>
          <w:rFonts w:ascii="Palatino Linotype" w:hAnsi="Palatino Linotype"/>
          <w:b/>
          <w:sz w:val="20"/>
          <w:szCs w:val="20"/>
        </w:rPr>
        <w:t>I - legislar sobre assuntos de interesse local;</w:t>
      </w:r>
    </w:p>
    <w:p w:rsidR="00C91EEF" w:rsidRPr="00CB6FAB" w:rsidRDefault="00C72C1D" w:rsidP="00C91EEF">
      <w:pPr>
        <w:spacing w:after="0" w:line="240" w:lineRule="auto"/>
        <w:ind w:left="2268"/>
        <w:jc w:val="both"/>
        <w:rPr>
          <w:rFonts w:ascii="Palatino Linotype" w:hAnsi="Palatino Linotype"/>
          <w:b/>
          <w:sz w:val="20"/>
          <w:szCs w:val="20"/>
        </w:rPr>
      </w:pPr>
      <w:r w:rsidRPr="00CB6FAB">
        <w:rPr>
          <w:rFonts w:ascii="Palatino Linotype" w:hAnsi="Palatino Linotype"/>
          <w:b/>
          <w:sz w:val="20"/>
          <w:szCs w:val="20"/>
        </w:rPr>
        <w:t>II - suplementar a legislação federal e a estadual no que couber;</w:t>
      </w:r>
    </w:p>
    <w:p w:rsidR="00C72C1D" w:rsidRPr="00CB6FAB" w:rsidRDefault="00C91EEF" w:rsidP="00C72C1D">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w:t>
      </w:r>
    </w:p>
    <w:p w:rsidR="00AE7283" w:rsidRPr="00CB6FAB" w:rsidRDefault="00AE7283" w:rsidP="002E6A65">
      <w:pPr>
        <w:spacing w:after="0" w:line="360" w:lineRule="auto"/>
        <w:ind w:firstLine="1134"/>
        <w:jc w:val="both"/>
        <w:rPr>
          <w:rFonts w:ascii="Palatino Linotype" w:hAnsi="Palatino Linotype"/>
          <w:sz w:val="24"/>
          <w:szCs w:val="24"/>
        </w:rPr>
      </w:pPr>
    </w:p>
    <w:p w:rsidR="00D43D8F" w:rsidRPr="00CB6FAB" w:rsidRDefault="00C72C1D" w:rsidP="002E6A65">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lastRenderedPageBreak/>
        <w:t xml:space="preserve">Veja-se que, entre as competências legislativas dos Municípios, encontra-se o poder de legislar sobre assuntos de interesse local e </w:t>
      </w:r>
      <w:r w:rsidR="00752F5F" w:rsidRPr="00CB6FAB">
        <w:rPr>
          <w:rFonts w:ascii="Palatino Linotype" w:hAnsi="Palatino Linotype"/>
          <w:sz w:val="24"/>
          <w:szCs w:val="24"/>
        </w:rPr>
        <w:t>de</w:t>
      </w:r>
      <w:r w:rsidR="00752F5F" w:rsidRPr="00CB6FAB">
        <w:rPr>
          <w:rFonts w:ascii="Palatino Linotype" w:hAnsi="Palatino Linotype"/>
          <w:b/>
          <w:sz w:val="24"/>
          <w:szCs w:val="24"/>
        </w:rPr>
        <w:t xml:space="preserve"> </w:t>
      </w:r>
      <w:r w:rsidRPr="00CB6FAB">
        <w:rPr>
          <w:rFonts w:ascii="Palatino Linotype" w:hAnsi="Palatino Linotype"/>
          <w:sz w:val="24"/>
          <w:szCs w:val="24"/>
        </w:rPr>
        <w:t xml:space="preserve">suplementar a legislação federal e estadual no que couber. Tal função legiferante </w:t>
      </w:r>
      <w:r w:rsidR="00D43D8F" w:rsidRPr="00CB6FAB">
        <w:rPr>
          <w:rFonts w:ascii="Palatino Linotype" w:hAnsi="Palatino Linotype"/>
          <w:sz w:val="24"/>
          <w:szCs w:val="24"/>
        </w:rPr>
        <w:t>deve ser exercida nos termos e nos limites da Constituição Federal, visando a estabelecer normas específicas, de acordo com a conjuntura municipal, e a complementar a legislação já existente em âmbito federal e estadual para adequar a aplicação na esfera local.</w:t>
      </w:r>
    </w:p>
    <w:p w:rsidR="00D43D8F" w:rsidRPr="00CB6FAB" w:rsidRDefault="00D43D8F" w:rsidP="002E6A65">
      <w:pPr>
        <w:spacing w:after="0" w:line="360" w:lineRule="auto"/>
        <w:ind w:firstLine="1134"/>
        <w:jc w:val="both"/>
        <w:rPr>
          <w:rFonts w:ascii="Palatino Linotype" w:hAnsi="Palatino Linotype"/>
          <w:sz w:val="24"/>
          <w:szCs w:val="24"/>
        </w:rPr>
      </w:pPr>
    </w:p>
    <w:p w:rsidR="00D43D8F" w:rsidRPr="00CB6FAB" w:rsidRDefault="00D43D8F" w:rsidP="002E6A65">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Assim, não há dúvidas de que ao Município se conferem diversas possib</w:t>
      </w:r>
      <w:r w:rsidRPr="00CB6FAB">
        <w:rPr>
          <w:rFonts w:ascii="Palatino Linotype" w:hAnsi="Palatino Linotype"/>
          <w:sz w:val="24"/>
          <w:szCs w:val="24"/>
        </w:rPr>
        <w:t>i</w:t>
      </w:r>
      <w:r w:rsidRPr="00CB6FAB">
        <w:rPr>
          <w:rFonts w:ascii="Palatino Linotype" w:hAnsi="Palatino Linotype"/>
          <w:sz w:val="24"/>
          <w:szCs w:val="24"/>
        </w:rPr>
        <w:t xml:space="preserve">lidades no que diz respeito à atividade legislativa, estando este legitimado a legislar sobre assuntos diversos de interesse local e </w:t>
      </w:r>
      <w:r w:rsidR="00387D24" w:rsidRPr="00CB6FAB">
        <w:rPr>
          <w:rFonts w:ascii="Palatino Linotype" w:hAnsi="Palatino Linotype"/>
          <w:sz w:val="24"/>
          <w:szCs w:val="24"/>
        </w:rPr>
        <w:t xml:space="preserve">a </w:t>
      </w:r>
      <w:r w:rsidRPr="00CB6FAB">
        <w:rPr>
          <w:rFonts w:ascii="Palatino Linotype" w:hAnsi="Palatino Linotype"/>
          <w:sz w:val="24"/>
          <w:szCs w:val="24"/>
        </w:rPr>
        <w:t>suplementar a legislação federal e est</w:t>
      </w:r>
      <w:r w:rsidRPr="00CB6FAB">
        <w:rPr>
          <w:rFonts w:ascii="Palatino Linotype" w:hAnsi="Palatino Linotype"/>
          <w:sz w:val="24"/>
          <w:szCs w:val="24"/>
        </w:rPr>
        <w:t>a</w:t>
      </w:r>
      <w:r w:rsidRPr="00CB6FAB">
        <w:rPr>
          <w:rFonts w:ascii="Palatino Linotype" w:hAnsi="Palatino Linotype"/>
          <w:sz w:val="24"/>
          <w:szCs w:val="24"/>
        </w:rPr>
        <w:t xml:space="preserve">dual no que couber, desde que a matéria não </w:t>
      </w:r>
      <w:r w:rsidR="008E027D" w:rsidRPr="00CB6FAB">
        <w:rPr>
          <w:rFonts w:ascii="Palatino Linotype" w:hAnsi="Palatino Linotype"/>
          <w:sz w:val="24"/>
          <w:szCs w:val="24"/>
        </w:rPr>
        <w:t>adentre o rol de competências privat</w:t>
      </w:r>
      <w:r w:rsidR="008E027D" w:rsidRPr="00CB6FAB">
        <w:rPr>
          <w:rFonts w:ascii="Palatino Linotype" w:hAnsi="Palatino Linotype"/>
          <w:sz w:val="24"/>
          <w:szCs w:val="24"/>
        </w:rPr>
        <w:t>i</w:t>
      </w:r>
      <w:r w:rsidR="008E027D" w:rsidRPr="00CB6FAB">
        <w:rPr>
          <w:rFonts w:ascii="Palatino Linotype" w:hAnsi="Palatino Linotype"/>
          <w:sz w:val="24"/>
          <w:szCs w:val="24"/>
        </w:rPr>
        <w:t>vas da União (CF, artigo 22)</w:t>
      </w:r>
      <w:r w:rsidR="00752F5F" w:rsidRPr="00CB6FAB">
        <w:rPr>
          <w:rFonts w:ascii="Palatino Linotype" w:hAnsi="Palatino Linotype"/>
          <w:sz w:val="24"/>
          <w:szCs w:val="24"/>
        </w:rPr>
        <w:t xml:space="preserve"> e não esbarre nos casos de iniciativa privativa do Chefe do Poder Executivo</w:t>
      </w:r>
      <w:r w:rsidR="008E027D" w:rsidRPr="00CB6FAB">
        <w:rPr>
          <w:rFonts w:ascii="Palatino Linotype" w:hAnsi="Palatino Linotype"/>
          <w:sz w:val="24"/>
          <w:szCs w:val="24"/>
        </w:rPr>
        <w:t>.</w:t>
      </w:r>
    </w:p>
    <w:p w:rsidR="008E027D" w:rsidRPr="00CB6FAB" w:rsidRDefault="008E027D" w:rsidP="002E6A65">
      <w:pPr>
        <w:spacing w:after="0" w:line="360" w:lineRule="auto"/>
        <w:ind w:firstLine="1134"/>
        <w:jc w:val="both"/>
        <w:rPr>
          <w:rFonts w:ascii="Palatino Linotype" w:hAnsi="Palatino Linotype"/>
          <w:sz w:val="24"/>
          <w:szCs w:val="24"/>
        </w:rPr>
      </w:pPr>
    </w:p>
    <w:p w:rsidR="00447D2C" w:rsidRPr="00CB6FAB" w:rsidRDefault="008E027D" w:rsidP="003E7FDD">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 xml:space="preserve">No caso em tela, </w:t>
      </w:r>
      <w:r w:rsidR="007520A0" w:rsidRPr="00CB6FAB">
        <w:rPr>
          <w:rFonts w:ascii="Palatino Linotype" w:hAnsi="Palatino Linotype"/>
          <w:sz w:val="24"/>
          <w:szCs w:val="24"/>
        </w:rPr>
        <w:t>cabe referir que a Lei Orgânica</w:t>
      </w:r>
      <w:r w:rsidR="00752F5F" w:rsidRPr="00CB6FAB">
        <w:rPr>
          <w:rFonts w:ascii="Palatino Linotype" w:hAnsi="Palatino Linotype"/>
          <w:sz w:val="24"/>
          <w:szCs w:val="24"/>
        </w:rPr>
        <w:t xml:space="preserve"> do Município de Guaíba</w:t>
      </w:r>
      <w:r w:rsidR="007520A0" w:rsidRPr="00CB6FAB">
        <w:rPr>
          <w:rFonts w:ascii="Palatino Linotype" w:hAnsi="Palatino Linotype"/>
          <w:sz w:val="24"/>
          <w:szCs w:val="24"/>
        </w:rPr>
        <w:t>, no artigo 119, não faz reserva alguma de iniciativa ao Poder Executivo quanto à m</w:t>
      </w:r>
      <w:r w:rsidR="007520A0" w:rsidRPr="00CB6FAB">
        <w:rPr>
          <w:rFonts w:ascii="Palatino Linotype" w:hAnsi="Palatino Linotype"/>
          <w:sz w:val="24"/>
          <w:szCs w:val="24"/>
        </w:rPr>
        <w:t>a</w:t>
      </w:r>
      <w:r w:rsidR="007520A0" w:rsidRPr="00CB6FAB">
        <w:rPr>
          <w:rFonts w:ascii="Palatino Linotype" w:hAnsi="Palatino Linotype"/>
          <w:sz w:val="24"/>
          <w:szCs w:val="24"/>
        </w:rPr>
        <w:t xml:space="preserve">téria aqui tratada, </w:t>
      </w:r>
      <w:r w:rsidR="00CE530B" w:rsidRPr="00CB6FAB">
        <w:rPr>
          <w:rFonts w:ascii="Palatino Linotype" w:hAnsi="Palatino Linotype"/>
          <w:sz w:val="24"/>
          <w:szCs w:val="24"/>
        </w:rPr>
        <w:t xml:space="preserve">qual seja, a </w:t>
      </w:r>
      <w:r w:rsidR="008D5E73" w:rsidRPr="00CB6FAB">
        <w:rPr>
          <w:rFonts w:ascii="Palatino Linotype" w:hAnsi="Palatino Linotype"/>
          <w:sz w:val="24"/>
          <w:szCs w:val="24"/>
        </w:rPr>
        <w:t xml:space="preserve">criação de isenção da taxa de inscrição em concursos públicos municipais para as pessoas </w:t>
      </w:r>
      <w:r w:rsidR="00A26D2D">
        <w:rPr>
          <w:rFonts w:ascii="Palatino Linotype" w:hAnsi="Palatino Linotype"/>
          <w:sz w:val="24"/>
          <w:szCs w:val="24"/>
        </w:rPr>
        <w:t>com deficiência</w:t>
      </w:r>
      <w:r w:rsidR="00CE530B" w:rsidRPr="00CB6FAB">
        <w:rPr>
          <w:rFonts w:ascii="Palatino Linotype" w:hAnsi="Palatino Linotype"/>
          <w:sz w:val="24"/>
          <w:szCs w:val="24"/>
        </w:rPr>
        <w:t xml:space="preserve">, </w:t>
      </w:r>
      <w:r w:rsidR="007520A0" w:rsidRPr="00CB6FAB">
        <w:rPr>
          <w:rFonts w:ascii="Palatino Linotype" w:hAnsi="Palatino Linotype"/>
          <w:sz w:val="24"/>
          <w:szCs w:val="24"/>
        </w:rPr>
        <w:t>presumindo-se, portanto, tr</w:t>
      </w:r>
      <w:r w:rsidR="007520A0" w:rsidRPr="00CB6FAB">
        <w:rPr>
          <w:rFonts w:ascii="Palatino Linotype" w:hAnsi="Palatino Linotype"/>
          <w:sz w:val="24"/>
          <w:szCs w:val="24"/>
        </w:rPr>
        <w:t>a</w:t>
      </w:r>
      <w:r w:rsidR="007520A0" w:rsidRPr="00CB6FAB">
        <w:rPr>
          <w:rFonts w:ascii="Palatino Linotype" w:hAnsi="Palatino Linotype"/>
          <w:sz w:val="24"/>
          <w:szCs w:val="24"/>
        </w:rPr>
        <w:t xml:space="preserve">tar-se de iniciativa comum, na forma do artigo 38, </w:t>
      </w:r>
      <w:r w:rsidR="007520A0" w:rsidRPr="00CB6FAB">
        <w:rPr>
          <w:rFonts w:ascii="Palatino Linotype" w:hAnsi="Palatino Linotype"/>
          <w:i/>
          <w:sz w:val="24"/>
          <w:szCs w:val="24"/>
        </w:rPr>
        <w:t>in verbis</w:t>
      </w:r>
      <w:r w:rsidR="007520A0" w:rsidRPr="00CB6FAB">
        <w:rPr>
          <w:rFonts w:ascii="Palatino Linotype" w:hAnsi="Palatino Linotype"/>
          <w:sz w:val="24"/>
          <w:szCs w:val="24"/>
        </w:rPr>
        <w:t>: “A iniciativa das Leis Mun</w:t>
      </w:r>
      <w:r w:rsidR="007520A0" w:rsidRPr="00CB6FAB">
        <w:rPr>
          <w:rFonts w:ascii="Palatino Linotype" w:hAnsi="Palatino Linotype"/>
          <w:sz w:val="24"/>
          <w:szCs w:val="24"/>
        </w:rPr>
        <w:t>i</w:t>
      </w:r>
      <w:r w:rsidR="007520A0" w:rsidRPr="00CB6FAB">
        <w:rPr>
          <w:rFonts w:ascii="Palatino Linotype" w:hAnsi="Palatino Linotype"/>
          <w:sz w:val="24"/>
          <w:szCs w:val="24"/>
        </w:rPr>
        <w:t xml:space="preserve">cipais, salvo nos casos de competência exclusiva, cabe a </w:t>
      </w:r>
      <w:r w:rsidR="007520A0" w:rsidRPr="00CB6FAB">
        <w:rPr>
          <w:rFonts w:ascii="Palatino Linotype" w:hAnsi="Palatino Linotype"/>
          <w:b/>
          <w:sz w:val="24"/>
          <w:szCs w:val="24"/>
        </w:rPr>
        <w:t>qualquer Vereador</w:t>
      </w:r>
      <w:r w:rsidR="007520A0" w:rsidRPr="00CB6FAB">
        <w:rPr>
          <w:rFonts w:ascii="Palatino Linotype" w:hAnsi="Palatino Linotype"/>
          <w:sz w:val="24"/>
          <w:szCs w:val="24"/>
        </w:rPr>
        <w:t>, Comissão Permane</w:t>
      </w:r>
      <w:r w:rsidR="007520A0" w:rsidRPr="00CB6FAB">
        <w:rPr>
          <w:rFonts w:ascii="Palatino Linotype" w:hAnsi="Palatino Linotype"/>
          <w:sz w:val="24"/>
          <w:szCs w:val="24"/>
        </w:rPr>
        <w:t>n</w:t>
      </w:r>
      <w:r w:rsidR="007520A0" w:rsidRPr="00CB6FAB">
        <w:rPr>
          <w:rFonts w:ascii="Palatino Linotype" w:hAnsi="Palatino Linotype"/>
          <w:sz w:val="24"/>
          <w:szCs w:val="24"/>
        </w:rPr>
        <w:t>te da Câmara, ao Prefeito ou ao eleitorado.”</w:t>
      </w:r>
    </w:p>
    <w:p w:rsidR="009372DA" w:rsidRPr="00CB6FAB" w:rsidRDefault="009372DA" w:rsidP="003E7FDD">
      <w:pPr>
        <w:spacing w:after="0" w:line="360" w:lineRule="auto"/>
        <w:ind w:firstLine="1134"/>
        <w:jc w:val="both"/>
        <w:rPr>
          <w:rFonts w:ascii="Palatino Linotype" w:hAnsi="Palatino Linotype"/>
          <w:sz w:val="24"/>
          <w:szCs w:val="24"/>
        </w:rPr>
      </w:pPr>
    </w:p>
    <w:p w:rsidR="00757BB7" w:rsidRPr="00CB6FAB" w:rsidRDefault="009372DA" w:rsidP="00757BB7">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Igualmente, quanto à iniciativa para deflagrar o processo legislativo, a m</w:t>
      </w:r>
      <w:r w:rsidRPr="00CB6FAB">
        <w:rPr>
          <w:rFonts w:ascii="Palatino Linotype" w:hAnsi="Palatino Linotype"/>
          <w:sz w:val="24"/>
          <w:szCs w:val="24"/>
        </w:rPr>
        <w:t>a</w:t>
      </w:r>
      <w:r w:rsidRPr="00CB6FAB">
        <w:rPr>
          <w:rFonts w:ascii="Palatino Linotype" w:hAnsi="Palatino Linotype"/>
          <w:sz w:val="24"/>
          <w:szCs w:val="24"/>
        </w:rPr>
        <w:t>téria não se insere no rol taxativo das matérias vedadas pelo art. 61 § 1º da Constitu</w:t>
      </w:r>
      <w:r w:rsidRPr="00CB6FAB">
        <w:rPr>
          <w:rFonts w:ascii="Palatino Linotype" w:hAnsi="Palatino Linotype"/>
          <w:sz w:val="24"/>
          <w:szCs w:val="24"/>
        </w:rPr>
        <w:t>i</w:t>
      </w:r>
      <w:r w:rsidRPr="00CB6FAB">
        <w:rPr>
          <w:rFonts w:ascii="Palatino Linotype" w:hAnsi="Palatino Linotype"/>
          <w:sz w:val="24"/>
          <w:szCs w:val="24"/>
        </w:rPr>
        <w:t>ção Federal ou pelo art. 60 da CERS</w:t>
      </w:r>
      <w:r w:rsidR="00757BB7" w:rsidRPr="00CB6FAB">
        <w:rPr>
          <w:rFonts w:ascii="Palatino Linotype" w:hAnsi="Palatino Linotype"/>
          <w:sz w:val="24"/>
          <w:szCs w:val="24"/>
        </w:rPr>
        <w:t>:</w:t>
      </w:r>
    </w:p>
    <w:p w:rsidR="00757BB7" w:rsidRPr="00CB6FAB" w:rsidRDefault="00757BB7" w:rsidP="00757BB7">
      <w:pPr>
        <w:spacing w:after="0" w:line="360" w:lineRule="auto"/>
        <w:ind w:firstLine="1134"/>
        <w:jc w:val="both"/>
        <w:rPr>
          <w:rFonts w:ascii="Palatino Linotype" w:hAnsi="Palatino Linotype"/>
          <w:sz w:val="24"/>
          <w:szCs w:val="24"/>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Art. 61. A iniciativa das leis complementares e ordinárias cabe a qualquer membro ou Comissão da Câmara dos Deputados, do Senado Federal ou do Congresso Nacional, ao Presidente da República, ao Supremo Tribunal F</w:t>
      </w:r>
      <w:r w:rsidRPr="00CB6FAB">
        <w:rPr>
          <w:rFonts w:ascii="Palatino Linotype" w:hAnsi="Palatino Linotype"/>
          <w:sz w:val="20"/>
          <w:szCs w:val="20"/>
        </w:rPr>
        <w:t>e</w:t>
      </w:r>
      <w:r w:rsidRPr="00CB6FAB">
        <w:rPr>
          <w:rFonts w:ascii="Palatino Linotype" w:hAnsi="Palatino Linotype"/>
          <w:sz w:val="20"/>
          <w:szCs w:val="20"/>
        </w:rPr>
        <w:lastRenderedPageBreak/>
        <w:t>deral, aos Tribunais Superiores, ao Procurador-Geral da República e aos c</w:t>
      </w:r>
      <w:r w:rsidRPr="00CB6FAB">
        <w:rPr>
          <w:rFonts w:ascii="Palatino Linotype" w:hAnsi="Palatino Linotype"/>
          <w:sz w:val="20"/>
          <w:szCs w:val="20"/>
        </w:rPr>
        <w:t>i</w:t>
      </w:r>
      <w:r w:rsidRPr="00CB6FAB">
        <w:rPr>
          <w:rFonts w:ascii="Palatino Linotype" w:hAnsi="Palatino Linotype"/>
          <w:sz w:val="20"/>
          <w:szCs w:val="20"/>
        </w:rPr>
        <w:t>dadãos, na forma e nos casos previstos nesta Constituição.</w:t>
      </w:r>
    </w:p>
    <w:p w:rsidR="00757BB7" w:rsidRPr="00CB6FAB" w:rsidRDefault="00757BB7"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 1º São de iniciativa privativa do Presidente da República as leis que:</w:t>
      </w:r>
    </w:p>
    <w:p w:rsidR="00757BB7" w:rsidRPr="00CB6FAB" w:rsidRDefault="00757BB7"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I - fixem ou modifiquem os efetivos das Forças Armadas;</w:t>
      </w:r>
    </w:p>
    <w:p w:rsidR="00757BB7" w:rsidRPr="00CB6FAB" w:rsidRDefault="00757BB7"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II - disponham sobre:</w:t>
      </w:r>
    </w:p>
    <w:p w:rsidR="00757BB7" w:rsidRPr="00CB6FAB" w:rsidRDefault="00757BB7"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a) criação de cargos, funções ou empregos públicos na administração direta e autárquica ou aumento de sua remuneração;</w:t>
      </w:r>
    </w:p>
    <w:p w:rsidR="00757BB7" w:rsidRPr="00CB6FAB" w:rsidRDefault="00757BB7"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b) organização administrativa e judiciária, matéria tributária e orçamentária, serviços públicos e pessoal da administração dos Territórios;</w:t>
      </w:r>
    </w:p>
    <w:p w:rsidR="00757BB7" w:rsidRPr="00CB6FAB" w:rsidRDefault="00757BB7" w:rsidP="00757BB7">
      <w:pPr>
        <w:spacing w:after="0" w:line="240" w:lineRule="auto"/>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c) servidores públicos da União e Territórios, seu regime jurídico, provime</w:t>
      </w:r>
      <w:r w:rsidRPr="00CB6FAB">
        <w:rPr>
          <w:rFonts w:ascii="Palatino Linotype" w:hAnsi="Palatino Linotype"/>
          <w:sz w:val="20"/>
          <w:szCs w:val="20"/>
        </w:rPr>
        <w:t>n</w:t>
      </w:r>
      <w:r w:rsidRPr="00CB6FAB">
        <w:rPr>
          <w:rFonts w:ascii="Palatino Linotype" w:hAnsi="Palatino Linotype"/>
          <w:sz w:val="20"/>
          <w:szCs w:val="20"/>
        </w:rPr>
        <w:t>to de cargos, estabilidade e aposentadoria;         (Redação dada pela Emenda Constitucional nº 18, de 1998)</w:t>
      </w:r>
    </w:p>
    <w:p w:rsidR="00757BB7" w:rsidRPr="00CB6FAB" w:rsidRDefault="00757BB7"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d) organização do Ministério Público e da Defensoria Pública da União, bem como normas gerais para a organização do Ministério Público e da Defens</w:t>
      </w:r>
      <w:r w:rsidRPr="00CB6FAB">
        <w:rPr>
          <w:rFonts w:ascii="Palatino Linotype" w:hAnsi="Palatino Linotype"/>
          <w:sz w:val="20"/>
          <w:szCs w:val="20"/>
        </w:rPr>
        <w:t>o</w:t>
      </w:r>
      <w:r w:rsidRPr="00CB6FAB">
        <w:rPr>
          <w:rFonts w:ascii="Palatino Linotype" w:hAnsi="Palatino Linotype"/>
          <w:sz w:val="20"/>
          <w:szCs w:val="20"/>
        </w:rPr>
        <w:t>ria Pública dos Estados, do Distrito Federal e dos Territórios;</w:t>
      </w:r>
    </w:p>
    <w:p w:rsidR="00757BB7" w:rsidRPr="00CB6FAB" w:rsidRDefault="00757BB7" w:rsidP="00757BB7">
      <w:pPr>
        <w:spacing w:after="0" w:line="240" w:lineRule="auto"/>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e) criação e extinção de Ministérios e órgãos da administração pública, o</w:t>
      </w:r>
      <w:r w:rsidRPr="00CB6FAB">
        <w:rPr>
          <w:rFonts w:ascii="Palatino Linotype" w:hAnsi="Palatino Linotype"/>
          <w:sz w:val="20"/>
          <w:szCs w:val="20"/>
        </w:rPr>
        <w:t>b</w:t>
      </w:r>
      <w:r w:rsidRPr="00CB6FAB">
        <w:rPr>
          <w:rFonts w:ascii="Palatino Linotype" w:hAnsi="Palatino Linotype"/>
          <w:sz w:val="20"/>
          <w:szCs w:val="20"/>
        </w:rPr>
        <w:t>servado o disposto no art. 84, VI;         (Redação dada pela Emenda Constit</w:t>
      </w:r>
      <w:r w:rsidRPr="00CB6FAB">
        <w:rPr>
          <w:rFonts w:ascii="Palatino Linotype" w:hAnsi="Palatino Linotype"/>
          <w:sz w:val="20"/>
          <w:szCs w:val="20"/>
        </w:rPr>
        <w:t>u</w:t>
      </w:r>
      <w:r w:rsidRPr="00CB6FAB">
        <w:rPr>
          <w:rFonts w:ascii="Palatino Linotype" w:hAnsi="Palatino Linotype"/>
          <w:sz w:val="20"/>
          <w:szCs w:val="20"/>
        </w:rPr>
        <w:t>cional nº 32, de 2001)</w:t>
      </w:r>
    </w:p>
    <w:p w:rsidR="00757BB7" w:rsidRPr="00CB6FAB" w:rsidRDefault="00757BB7"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f) militares das Forças Armadas, seu regime jurídico, provimento de cargos, promoções, estabilidade, remuneração, reforma e transferência para a rese</w:t>
      </w:r>
      <w:r w:rsidRPr="00CB6FAB">
        <w:rPr>
          <w:rFonts w:ascii="Palatino Linotype" w:hAnsi="Palatino Linotype"/>
          <w:sz w:val="20"/>
          <w:szCs w:val="20"/>
        </w:rPr>
        <w:t>r</w:t>
      </w:r>
      <w:r w:rsidRPr="00CB6FAB">
        <w:rPr>
          <w:rFonts w:ascii="Palatino Linotype" w:hAnsi="Palatino Linotype"/>
          <w:sz w:val="20"/>
          <w:szCs w:val="20"/>
        </w:rPr>
        <w:t>va</w:t>
      </w:r>
      <w:r w:rsidR="0000779C" w:rsidRPr="00CB6FAB">
        <w:rPr>
          <w:rFonts w:ascii="Palatino Linotype" w:hAnsi="Palatino Linotype"/>
          <w:sz w:val="20"/>
          <w:szCs w:val="20"/>
        </w:rPr>
        <w:t>.</w:t>
      </w:r>
    </w:p>
    <w:p w:rsidR="0000779C" w:rsidRPr="00CB6FAB" w:rsidRDefault="0000779C" w:rsidP="00757BB7">
      <w:pPr>
        <w:spacing w:after="0" w:line="240" w:lineRule="auto"/>
        <w:ind w:left="2268"/>
        <w:jc w:val="both"/>
        <w:rPr>
          <w:rFonts w:ascii="Palatino Linotype" w:hAnsi="Palatino Linotype"/>
          <w:sz w:val="20"/>
          <w:szCs w:val="20"/>
        </w:rPr>
      </w:pP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Art. 60.  São de iniciativa privativa do Governador do Estado as leis que:</w:t>
      </w: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I - fixem ou modifiquem os efetivos da Brigada Militar e do Corpo de Bo</w:t>
      </w:r>
      <w:r w:rsidRPr="00CB6FAB">
        <w:rPr>
          <w:rFonts w:ascii="Palatino Linotype" w:hAnsi="Palatino Linotype"/>
          <w:sz w:val="20"/>
          <w:szCs w:val="20"/>
        </w:rPr>
        <w:t>m</w:t>
      </w:r>
      <w:r w:rsidRPr="00CB6FAB">
        <w:rPr>
          <w:rFonts w:ascii="Palatino Linotype" w:hAnsi="Palatino Linotype"/>
          <w:sz w:val="20"/>
          <w:szCs w:val="20"/>
        </w:rPr>
        <w:t>beiros Militar; (Redação dada pela Emenda Constitucional n.º 67, de 17/06/14)</w:t>
      </w: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II - disponham sobre:</w:t>
      </w: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a) criação e aumento da remuneração de cargos, funções ou empregos públ</w:t>
      </w:r>
      <w:r w:rsidRPr="00CB6FAB">
        <w:rPr>
          <w:rFonts w:ascii="Palatino Linotype" w:hAnsi="Palatino Linotype"/>
          <w:sz w:val="20"/>
          <w:szCs w:val="20"/>
        </w:rPr>
        <w:t>i</w:t>
      </w:r>
      <w:r w:rsidRPr="00CB6FAB">
        <w:rPr>
          <w:rFonts w:ascii="Palatino Linotype" w:hAnsi="Palatino Linotype"/>
          <w:sz w:val="20"/>
          <w:szCs w:val="20"/>
        </w:rPr>
        <w:t>cos na administração direta ou autárquica;</w:t>
      </w: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b) servidores públicos do Estado, seu regime jurídico, provimento de cargos, estabilidade e aposentadoria de civis, e reforma ou transferência de militares para a inatividade;</w:t>
      </w: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c) organização da Defensoria Pública do Estado;</w:t>
      </w:r>
    </w:p>
    <w:p w:rsidR="00757BB7" w:rsidRPr="00CB6FAB" w:rsidRDefault="00757BB7" w:rsidP="00757BB7">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d) criação, estruturação e atribuições das Secretarias e órgãos da administr</w:t>
      </w:r>
      <w:r w:rsidRPr="00CB6FAB">
        <w:rPr>
          <w:rFonts w:ascii="Palatino Linotype" w:hAnsi="Palatino Linotype"/>
          <w:sz w:val="20"/>
          <w:szCs w:val="20"/>
        </w:rPr>
        <w:t>a</w:t>
      </w:r>
      <w:r w:rsidRPr="00CB6FAB">
        <w:rPr>
          <w:rFonts w:ascii="Palatino Linotype" w:hAnsi="Palatino Linotype"/>
          <w:sz w:val="20"/>
          <w:szCs w:val="20"/>
        </w:rPr>
        <w:t>ção pública.</w:t>
      </w:r>
    </w:p>
    <w:p w:rsidR="009372DA" w:rsidRPr="00CB6FAB" w:rsidRDefault="009372DA" w:rsidP="00757BB7">
      <w:pPr>
        <w:spacing w:after="0" w:line="360" w:lineRule="auto"/>
        <w:jc w:val="both"/>
        <w:rPr>
          <w:rFonts w:ascii="Palatino Linotype" w:hAnsi="Palatino Linotype"/>
          <w:sz w:val="24"/>
          <w:szCs w:val="24"/>
        </w:rPr>
      </w:pPr>
    </w:p>
    <w:p w:rsidR="009372DA" w:rsidRPr="00CB6FAB" w:rsidRDefault="009372DA" w:rsidP="0000779C">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lastRenderedPageBreak/>
        <w:t xml:space="preserve">  Nessa lógica, é consagrada a jurisprudência do Supremo Tribunal Fed</w:t>
      </w:r>
      <w:r w:rsidRPr="00CB6FAB">
        <w:rPr>
          <w:rFonts w:ascii="Palatino Linotype" w:hAnsi="Palatino Linotype"/>
          <w:sz w:val="24"/>
          <w:szCs w:val="24"/>
        </w:rPr>
        <w:t>e</w:t>
      </w:r>
      <w:r w:rsidRPr="00CB6FAB">
        <w:rPr>
          <w:rFonts w:ascii="Palatino Linotype" w:hAnsi="Palatino Linotype"/>
          <w:sz w:val="24"/>
          <w:szCs w:val="24"/>
        </w:rPr>
        <w:t>ral de que o rol de matérias de iniciativa reservada ao Chefe do Poder Executivo é taxativo:</w:t>
      </w:r>
    </w:p>
    <w:p w:rsidR="009372DA" w:rsidRPr="00CB6FAB" w:rsidRDefault="009372DA" w:rsidP="009372DA">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Não procede a alegação de que qualquer projeto de lei que crie despesa só poderá ser proposto pelo chefe do Executivo. As hipóteses de limitação da iniciativa parlamentar estão previstas, em numerus clausus, no art. 61 da Constituição do Brasil – matérias relativas ao funcionamento da administr</w:t>
      </w:r>
      <w:r w:rsidRPr="00CB6FAB">
        <w:rPr>
          <w:rFonts w:ascii="Palatino Linotype" w:hAnsi="Palatino Linotype"/>
          <w:sz w:val="20"/>
          <w:szCs w:val="20"/>
        </w:rPr>
        <w:t>a</w:t>
      </w:r>
      <w:r w:rsidRPr="00CB6FAB">
        <w:rPr>
          <w:rFonts w:ascii="Palatino Linotype" w:hAnsi="Palatino Linotype"/>
          <w:sz w:val="20"/>
          <w:szCs w:val="20"/>
        </w:rPr>
        <w:t>ção pública, notadamente no que se refere a servidores e órgãos do</w:t>
      </w:r>
      <w:r w:rsidR="00C91EEF" w:rsidRPr="00CB6FAB">
        <w:rPr>
          <w:rFonts w:ascii="Palatino Linotype" w:hAnsi="Palatino Linotype"/>
          <w:sz w:val="20"/>
          <w:szCs w:val="20"/>
        </w:rPr>
        <w:t xml:space="preserve"> Poder Executivo. Precedentes. (</w:t>
      </w:r>
      <w:r w:rsidRPr="00CB6FAB">
        <w:rPr>
          <w:rFonts w:ascii="Palatino Linotype" w:hAnsi="Palatino Linotype"/>
          <w:sz w:val="20"/>
          <w:szCs w:val="20"/>
        </w:rPr>
        <w:t>ADI 3.394, rel. min. Eros Grau, j.</w:t>
      </w:r>
      <w:r w:rsidR="00C91EEF" w:rsidRPr="00CB6FAB">
        <w:rPr>
          <w:rFonts w:ascii="Palatino Linotype" w:hAnsi="Palatino Linotype"/>
          <w:sz w:val="20"/>
          <w:szCs w:val="20"/>
        </w:rPr>
        <w:t xml:space="preserve"> 2-4-2007, P, DJE de 15-8-2008.)</w:t>
      </w:r>
    </w:p>
    <w:p w:rsidR="009372DA" w:rsidRPr="00CB6FAB" w:rsidRDefault="009372DA" w:rsidP="009372DA">
      <w:pPr>
        <w:spacing w:after="0" w:line="240" w:lineRule="auto"/>
        <w:ind w:left="2268"/>
        <w:jc w:val="both"/>
        <w:rPr>
          <w:rFonts w:ascii="Palatino Linotype" w:hAnsi="Palatino Linotype"/>
          <w:sz w:val="20"/>
          <w:szCs w:val="20"/>
        </w:rPr>
      </w:pPr>
    </w:p>
    <w:p w:rsidR="009372DA" w:rsidRPr="00CB6FAB" w:rsidRDefault="009372DA" w:rsidP="009372DA">
      <w:pPr>
        <w:spacing w:after="0" w:line="240" w:lineRule="auto"/>
        <w:ind w:left="2268"/>
        <w:jc w:val="both"/>
        <w:rPr>
          <w:rFonts w:ascii="Palatino Linotype" w:hAnsi="Palatino Linotype"/>
          <w:sz w:val="20"/>
          <w:szCs w:val="20"/>
        </w:rPr>
      </w:pPr>
    </w:p>
    <w:p w:rsidR="0000779C" w:rsidRPr="00CB6FAB" w:rsidRDefault="009372DA" w:rsidP="0000779C">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Ainda em relação à matéria correlata ao objeto da proposição, firmou a Suprema Corte</w:t>
      </w:r>
      <w:r w:rsidR="00FC3435" w:rsidRPr="00CB6FAB">
        <w:rPr>
          <w:rFonts w:ascii="Palatino Linotype" w:hAnsi="Palatino Linotype"/>
          <w:sz w:val="24"/>
          <w:szCs w:val="24"/>
        </w:rPr>
        <w:t>, no julgamento da ADI 2.672/ES,</w:t>
      </w:r>
      <w:r w:rsidRPr="00CB6FAB">
        <w:rPr>
          <w:rFonts w:ascii="Palatino Linotype" w:hAnsi="Palatino Linotype"/>
          <w:sz w:val="24"/>
          <w:szCs w:val="24"/>
        </w:rPr>
        <w:t xml:space="preserve"> o entendimento </w:t>
      </w:r>
      <w:r w:rsidR="00FC3435" w:rsidRPr="00CB6FAB">
        <w:rPr>
          <w:rFonts w:ascii="Palatino Linotype" w:hAnsi="Palatino Linotype"/>
          <w:sz w:val="24"/>
          <w:szCs w:val="24"/>
        </w:rPr>
        <w:t>que a competência é concorrente para legislar sobre isenção do pagamento de taxa de inscrição de concu</w:t>
      </w:r>
      <w:r w:rsidR="00FC3435" w:rsidRPr="00CB6FAB">
        <w:rPr>
          <w:rFonts w:ascii="Palatino Linotype" w:hAnsi="Palatino Linotype"/>
          <w:sz w:val="24"/>
          <w:szCs w:val="24"/>
        </w:rPr>
        <w:t>r</w:t>
      </w:r>
      <w:r w:rsidR="00FC3435" w:rsidRPr="00CB6FAB">
        <w:rPr>
          <w:rFonts w:ascii="Palatino Linotype" w:hAnsi="Palatino Linotype"/>
          <w:sz w:val="24"/>
          <w:szCs w:val="24"/>
        </w:rPr>
        <w:t>so:</w:t>
      </w:r>
      <w:r w:rsidRPr="00CB6FAB">
        <w:rPr>
          <w:rFonts w:ascii="Palatino Linotype" w:hAnsi="Palatino Linotype"/>
          <w:sz w:val="24"/>
          <w:szCs w:val="24"/>
        </w:rPr>
        <w:t xml:space="preserve"> </w:t>
      </w:r>
    </w:p>
    <w:p w:rsidR="009372DA" w:rsidRPr="00CB6FAB" w:rsidRDefault="009372DA" w:rsidP="009372DA">
      <w:pPr>
        <w:spacing w:after="0" w:line="240" w:lineRule="auto"/>
        <w:ind w:left="2268"/>
        <w:jc w:val="both"/>
        <w:rPr>
          <w:rFonts w:ascii="Palatino Linotype" w:hAnsi="Palatino Linotype"/>
          <w:sz w:val="20"/>
          <w:szCs w:val="20"/>
        </w:rPr>
      </w:pPr>
      <w:r w:rsidRPr="003730A1">
        <w:rPr>
          <w:rFonts w:ascii="Palatino Linotype" w:hAnsi="Palatino Linotype"/>
          <w:b/>
          <w:sz w:val="20"/>
          <w:szCs w:val="20"/>
          <w:u w:val="single"/>
        </w:rPr>
        <w:t>O diploma normativo em causa, que estabelece isenção do pagamento de taxa de concurso público</w:t>
      </w:r>
      <w:r w:rsidRPr="00CB6FAB">
        <w:rPr>
          <w:rFonts w:ascii="Palatino Linotype" w:hAnsi="Palatino Linotype"/>
          <w:sz w:val="20"/>
          <w:szCs w:val="20"/>
        </w:rPr>
        <w:t>, não versa sobre matéria relativa a servidores p</w:t>
      </w:r>
      <w:r w:rsidRPr="00CB6FAB">
        <w:rPr>
          <w:rFonts w:ascii="Palatino Linotype" w:hAnsi="Palatino Linotype"/>
          <w:sz w:val="20"/>
          <w:szCs w:val="20"/>
        </w:rPr>
        <w:t>ú</w:t>
      </w:r>
      <w:r w:rsidRPr="00CB6FAB">
        <w:rPr>
          <w:rFonts w:ascii="Palatino Linotype" w:hAnsi="Palatino Linotype"/>
          <w:sz w:val="20"/>
          <w:szCs w:val="20"/>
        </w:rPr>
        <w:t>blicos (§ 1º do art. 61 da CF/1988). Dispõe, isso sim, sobre condição para se chegar à investidura em cargo público, que é um momento anterior ao da caracterização do candidato como servidor público. Inconstitucionalidade formal não configurada.</w:t>
      </w:r>
      <w:r w:rsidR="00FC3435" w:rsidRPr="00CB6FAB">
        <w:rPr>
          <w:rFonts w:ascii="Palatino Linotype" w:hAnsi="Palatino Linotype"/>
          <w:sz w:val="20"/>
          <w:szCs w:val="20"/>
        </w:rPr>
        <w:t xml:space="preserve"> (...)</w:t>
      </w:r>
      <w:r w:rsidR="00274AF9" w:rsidRPr="00CB6FAB">
        <w:rPr>
          <w:rFonts w:ascii="Palatino Linotype" w:hAnsi="Palatino Linotype"/>
          <w:sz w:val="20"/>
          <w:szCs w:val="20"/>
        </w:rPr>
        <w:t xml:space="preserve"> (</w:t>
      </w:r>
      <w:r w:rsidRPr="00CB6FAB">
        <w:rPr>
          <w:rFonts w:ascii="Palatino Linotype" w:hAnsi="Palatino Linotype"/>
          <w:sz w:val="20"/>
          <w:szCs w:val="20"/>
        </w:rPr>
        <w:t>ADI 2.672, rel. p/ o ac. min. Ayres Britto, j.</w:t>
      </w:r>
      <w:r w:rsidR="00274AF9" w:rsidRPr="00CB6FAB">
        <w:rPr>
          <w:rFonts w:ascii="Palatino Linotype" w:hAnsi="Palatino Linotype"/>
          <w:sz w:val="20"/>
          <w:szCs w:val="20"/>
        </w:rPr>
        <w:t xml:space="preserve"> 22-6-2006, P, DJ de 10-11-2006.)</w:t>
      </w:r>
    </w:p>
    <w:p w:rsidR="007520A0" w:rsidRPr="00CB6FAB" w:rsidRDefault="007520A0" w:rsidP="00C05E4B">
      <w:pPr>
        <w:spacing w:after="0" w:line="360" w:lineRule="auto"/>
        <w:jc w:val="both"/>
        <w:rPr>
          <w:rFonts w:ascii="Palatino Linotype" w:hAnsi="Palatino Linotype"/>
          <w:sz w:val="24"/>
          <w:szCs w:val="24"/>
        </w:rPr>
      </w:pPr>
    </w:p>
    <w:p w:rsidR="00274AF9" w:rsidRPr="00CB6FAB" w:rsidRDefault="00274AF9" w:rsidP="00274AF9">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Entendimento no mesmo sentido foi proferido recentemente pelo Tribunal de Justiça de São Paulo, no julgamento da ADI Nº 2270886-79.2018.8.26.0000, em 05/06/2019. No referido acórdão, o Tribunal defendeu a constitucionalidade da Lei Municipal n. 13.053/18, que previu a concessão de isenção da taxa de inscrição em concursos públicos municipais aos doadores de sangue e medula óssea.</w:t>
      </w:r>
    </w:p>
    <w:p w:rsidR="00EA5E76" w:rsidRDefault="00EA5E76" w:rsidP="00274AF9">
      <w:pPr>
        <w:spacing w:after="0" w:line="240" w:lineRule="auto"/>
        <w:ind w:left="2268"/>
        <w:jc w:val="both"/>
        <w:rPr>
          <w:rFonts w:ascii="Palatino Linotype" w:hAnsi="Palatino Linotype"/>
          <w:sz w:val="20"/>
          <w:szCs w:val="20"/>
        </w:rPr>
      </w:pPr>
    </w:p>
    <w:p w:rsidR="00274AF9" w:rsidRPr="00CB6FAB" w:rsidRDefault="00274AF9" w:rsidP="00274AF9">
      <w:pPr>
        <w:spacing w:after="0" w:line="240" w:lineRule="auto"/>
        <w:ind w:left="2268"/>
        <w:jc w:val="both"/>
        <w:rPr>
          <w:rFonts w:ascii="Palatino Linotype" w:hAnsi="Palatino Linotype"/>
          <w:sz w:val="20"/>
          <w:szCs w:val="20"/>
        </w:rPr>
      </w:pPr>
      <w:r w:rsidRPr="00CB6FAB">
        <w:rPr>
          <w:rFonts w:ascii="Palatino Linotype" w:hAnsi="Palatino Linotype"/>
          <w:sz w:val="20"/>
          <w:szCs w:val="20"/>
        </w:rPr>
        <w:t>AÇÃO DIRETA DE INCONSTITUCIONALIDADE AJUIZADA PELO EX</w:t>
      </w:r>
      <w:r w:rsidRPr="00CB6FAB">
        <w:rPr>
          <w:rFonts w:ascii="Palatino Linotype" w:hAnsi="Palatino Linotype"/>
          <w:sz w:val="20"/>
          <w:szCs w:val="20"/>
        </w:rPr>
        <w:t>E</w:t>
      </w:r>
      <w:r w:rsidRPr="00CB6FAB">
        <w:rPr>
          <w:rFonts w:ascii="Palatino Linotype" w:hAnsi="Palatino Linotype"/>
          <w:sz w:val="20"/>
          <w:szCs w:val="20"/>
        </w:rPr>
        <w:t>CUTIVO MUNICIPAL EM FACE DA LEI Nº 13.053 DE 30 DE NOVEMBRO DE 2018, DE INICIATIVA PARLAMENTAR, A QUAL DISPÕE “SOBRE A ISENÇÃO DE PAGAMENTO DE TAXAS DE INSCRIÇÃO DOS CONCU</w:t>
      </w:r>
      <w:r w:rsidRPr="00CB6FAB">
        <w:rPr>
          <w:rFonts w:ascii="Palatino Linotype" w:hAnsi="Palatino Linotype"/>
          <w:sz w:val="20"/>
          <w:szCs w:val="20"/>
        </w:rPr>
        <w:t>R</w:t>
      </w:r>
      <w:r w:rsidRPr="00CB6FAB">
        <w:rPr>
          <w:rFonts w:ascii="Palatino Linotype" w:hAnsi="Palatino Linotype"/>
          <w:sz w:val="20"/>
          <w:szCs w:val="20"/>
        </w:rPr>
        <w:t>SOS PÚBLICOS MUNICIPAIS AOS DOADORES DE SANGUE E/OU M</w:t>
      </w:r>
      <w:r w:rsidRPr="00CB6FAB">
        <w:rPr>
          <w:rFonts w:ascii="Palatino Linotype" w:hAnsi="Palatino Linotype"/>
          <w:sz w:val="20"/>
          <w:szCs w:val="20"/>
        </w:rPr>
        <w:t>E</w:t>
      </w:r>
      <w:r w:rsidRPr="00CB6FAB">
        <w:rPr>
          <w:rFonts w:ascii="Palatino Linotype" w:hAnsi="Palatino Linotype"/>
          <w:sz w:val="20"/>
          <w:szCs w:val="20"/>
        </w:rPr>
        <w:t>DULA ÓSSEA”. ALEGAÇÃO DE VÍCIO DE INICIATIVA COM FUND</w:t>
      </w:r>
      <w:r w:rsidRPr="00CB6FAB">
        <w:rPr>
          <w:rFonts w:ascii="Palatino Linotype" w:hAnsi="Palatino Linotype"/>
          <w:sz w:val="20"/>
          <w:szCs w:val="20"/>
        </w:rPr>
        <w:t>A</w:t>
      </w:r>
      <w:r w:rsidRPr="00CB6FAB">
        <w:rPr>
          <w:rFonts w:ascii="Palatino Linotype" w:hAnsi="Palatino Linotype"/>
          <w:sz w:val="20"/>
          <w:szCs w:val="20"/>
        </w:rPr>
        <w:t>MENTO NO PARÁGRAFO ÚNICO DO ART.159 DACONSTITUIÇÃO BANDEIRANTE. DESCABIMENTO. “</w:t>
      </w:r>
      <w:r w:rsidRPr="004945E1">
        <w:rPr>
          <w:rFonts w:ascii="Palatino Linotype" w:hAnsi="Palatino Linotype"/>
          <w:b/>
          <w:sz w:val="20"/>
          <w:szCs w:val="20"/>
          <w:u w:val="single"/>
        </w:rPr>
        <w:t>TAXA” PREVISTA NA LEI I</w:t>
      </w:r>
      <w:r w:rsidRPr="004945E1">
        <w:rPr>
          <w:rFonts w:ascii="Palatino Linotype" w:hAnsi="Palatino Linotype"/>
          <w:b/>
          <w:sz w:val="20"/>
          <w:szCs w:val="20"/>
          <w:u w:val="single"/>
        </w:rPr>
        <w:t>M</w:t>
      </w:r>
      <w:r w:rsidRPr="004945E1">
        <w:rPr>
          <w:rFonts w:ascii="Palatino Linotype" w:hAnsi="Palatino Linotype"/>
          <w:b/>
          <w:sz w:val="20"/>
          <w:szCs w:val="20"/>
          <w:u w:val="single"/>
        </w:rPr>
        <w:t>PUGNADA QUE DIFERE DE PREÇO PÚBLICO</w:t>
      </w:r>
      <w:r w:rsidRPr="00CB6FAB">
        <w:rPr>
          <w:rFonts w:ascii="Palatino Linotype" w:hAnsi="Palatino Linotype"/>
          <w:sz w:val="20"/>
          <w:szCs w:val="20"/>
        </w:rPr>
        <w:t xml:space="preserve">. </w:t>
      </w:r>
      <w:r w:rsidRPr="00EA5E76">
        <w:rPr>
          <w:rFonts w:ascii="Palatino Linotype" w:hAnsi="Palatino Linotype"/>
          <w:b/>
          <w:sz w:val="20"/>
          <w:szCs w:val="20"/>
          <w:u w:val="single"/>
        </w:rPr>
        <w:t>MATÉRIA REFERENTE A RECEITA PÚBLICA INSERIDA NA EXPRESSÃO “OUTROS INGRE</w:t>
      </w:r>
      <w:r w:rsidRPr="00EA5E76">
        <w:rPr>
          <w:rFonts w:ascii="Palatino Linotype" w:hAnsi="Palatino Linotype"/>
          <w:b/>
          <w:sz w:val="20"/>
          <w:szCs w:val="20"/>
          <w:u w:val="single"/>
        </w:rPr>
        <w:t>S</w:t>
      </w:r>
      <w:r w:rsidRPr="00EA5E76">
        <w:rPr>
          <w:rFonts w:ascii="Palatino Linotype" w:hAnsi="Palatino Linotype"/>
          <w:b/>
          <w:sz w:val="20"/>
          <w:szCs w:val="20"/>
          <w:u w:val="single"/>
        </w:rPr>
        <w:lastRenderedPageBreak/>
        <w:t>SOS” CONTIDA NO ART. 159 DA CONSTITUIÇÃO BANDEIRANTE</w:t>
      </w:r>
      <w:r w:rsidRPr="00CB6FAB">
        <w:rPr>
          <w:rFonts w:ascii="Palatino Linotype" w:hAnsi="Palatino Linotype"/>
          <w:sz w:val="20"/>
          <w:szCs w:val="20"/>
        </w:rPr>
        <w:t>. COMPETÊNCIA CONCORRENTE. INTELIGÊNCIA DO ART. 24 DA CONSTITUIÇÃO PAULISTA. VÍCIO DEINICIATIVA NÃO CONFIGUR</w:t>
      </w:r>
      <w:r w:rsidRPr="00CB6FAB">
        <w:rPr>
          <w:rFonts w:ascii="Palatino Linotype" w:hAnsi="Palatino Linotype"/>
          <w:sz w:val="20"/>
          <w:szCs w:val="20"/>
        </w:rPr>
        <w:t>A</w:t>
      </w:r>
      <w:r w:rsidRPr="00CB6FAB">
        <w:rPr>
          <w:rFonts w:ascii="Palatino Linotype" w:hAnsi="Palatino Linotype"/>
          <w:sz w:val="20"/>
          <w:szCs w:val="20"/>
        </w:rPr>
        <w:t>DO. (TJ-SP-ADI:2270886-79.2018.8.26.0000, Relator: Cristina Zucchi, Data de Julgamento: 05/06/2019, Órgão Especial, Data de Publicação: 06/06/2019.)</w:t>
      </w:r>
    </w:p>
    <w:p w:rsidR="00274AF9" w:rsidRPr="00CB6FAB" w:rsidRDefault="00274AF9" w:rsidP="007B1143">
      <w:pPr>
        <w:spacing w:after="0" w:line="360" w:lineRule="auto"/>
        <w:ind w:firstLine="1134"/>
        <w:jc w:val="both"/>
        <w:rPr>
          <w:rFonts w:ascii="Palatino Linotype" w:hAnsi="Palatino Linotype"/>
          <w:sz w:val="24"/>
          <w:szCs w:val="24"/>
        </w:rPr>
      </w:pPr>
    </w:p>
    <w:p w:rsidR="00E108EE" w:rsidRDefault="007520A0" w:rsidP="007B1143">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Portanto, no que diz respeito à competência e à iniciativa, inexiste qua</w:t>
      </w:r>
      <w:r w:rsidRPr="00CB6FAB">
        <w:rPr>
          <w:rFonts w:ascii="Palatino Linotype" w:hAnsi="Palatino Linotype"/>
          <w:sz w:val="24"/>
          <w:szCs w:val="24"/>
        </w:rPr>
        <w:t>l</w:t>
      </w:r>
      <w:r w:rsidRPr="00CB6FAB">
        <w:rPr>
          <w:rFonts w:ascii="Palatino Linotype" w:hAnsi="Palatino Linotype"/>
          <w:sz w:val="24"/>
          <w:szCs w:val="24"/>
        </w:rPr>
        <w:t xml:space="preserve">quer vício ou mácula a impedir a regular tramitação do Projeto de Lei </w:t>
      </w:r>
      <w:r w:rsidR="00E108EE">
        <w:rPr>
          <w:rFonts w:ascii="Palatino Linotype" w:hAnsi="Palatino Linotype"/>
          <w:sz w:val="24"/>
          <w:szCs w:val="24"/>
        </w:rPr>
        <w:t xml:space="preserve">do Legislativo </w:t>
      </w:r>
      <w:r w:rsidRPr="00CB6FAB">
        <w:rPr>
          <w:rFonts w:ascii="Palatino Linotype" w:hAnsi="Palatino Linotype"/>
          <w:sz w:val="24"/>
          <w:szCs w:val="24"/>
        </w:rPr>
        <w:t xml:space="preserve">nº </w:t>
      </w:r>
      <w:r w:rsidR="00E108EE">
        <w:rPr>
          <w:rFonts w:ascii="Palatino Linotype" w:hAnsi="Palatino Linotype"/>
          <w:sz w:val="24"/>
          <w:szCs w:val="24"/>
        </w:rPr>
        <w:t>143</w:t>
      </w:r>
      <w:r w:rsidRPr="00CB6FAB">
        <w:rPr>
          <w:rFonts w:ascii="Palatino Linotype" w:hAnsi="Palatino Linotype"/>
          <w:sz w:val="24"/>
          <w:szCs w:val="24"/>
        </w:rPr>
        <w:t>/20</w:t>
      </w:r>
      <w:r w:rsidR="009372DA" w:rsidRPr="00CB6FAB">
        <w:rPr>
          <w:rFonts w:ascii="Palatino Linotype" w:hAnsi="Palatino Linotype"/>
          <w:sz w:val="24"/>
          <w:szCs w:val="24"/>
        </w:rPr>
        <w:t>2</w:t>
      </w:r>
      <w:r w:rsidR="00E108EE">
        <w:rPr>
          <w:rFonts w:ascii="Palatino Linotype" w:hAnsi="Palatino Linotype"/>
          <w:sz w:val="24"/>
          <w:szCs w:val="24"/>
        </w:rPr>
        <w:t>3</w:t>
      </w:r>
      <w:r w:rsidR="007B1143" w:rsidRPr="00CB6FAB">
        <w:rPr>
          <w:rFonts w:ascii="Palatino Linotype" w:hAnsi="Palatino Linotype"/>
          <w:sz w:val="24"/>
          <w:szCs w:val="24"/>
        </w:rPr>
        <w:t xml:space="preserve">. </w:t>
      </w:r>
    </w:p>
    <w:p w:rsidR="00E108EE" w:rsidRDefault="00E108EE" w:rsidP="007B1143">
      <w:pPr>
        <w:spacing w:after="0" w:line="360" w:lineRule="auto"/>
        <w:ind w:firstLine="1134"/>
        <w:jc w:val="both"/>
        <w:rPr>
          <w:rFonts w:ascii="Palatino Linotype" w:hAnsi="Palatino Linotype"/>
          <w:sz w:val="24"/>
          <w:szCs w:val="24"/>
        </w:rPr>
      </w:pPr>
    </w:p>
    <w:p w:rsidR="007B1143" w:rsidRPr="00CB6FAB" w:rsidRDefault="002E6A65" w:rsidP="007B1143">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 xml:space="preserve">Quanto à matéria de fundo, </w:t>
      </w:r>
      <w:r w:rsidR="00FF1F37" w:rsidRPr="00CB6FAB">
        <w:rPr>
          <w:rFonts w:ascii="Palatino Linotype" w:hAnsi="Palatino Linotype"/>
          <w:sz w:val="24"/>
          <w:szCs w:val="24"/>
        </w:rPr>
        <w:t xml:space="preserve">também </w:t>
      </w:r>
      <w:r w:rsidRPr="00CB6FAB">
        <w:rPr>
          <w:rFonts w:ascii="Palatino Linotype" w:hAnsi="Palatino Linotype"/>
          <w:sz w:val="24"/>
          <w:szCs w:val="24"/>
        </w:rPr>
        <w:t>nã</w:t>
      </w:r>
      <w:r w:rsidR="0000779C" w:rsidRPr="00CB6FAB">
        <w:rPr>
          <w:rFonts w:ascii="Palatino Linotype" w:hAnsi="Palatino Linotype"/>
          <w:sz w:val="24"/>
          <w:szCs w:val="24"/>
        </w:rPr>
        <w:t>o há qualquer óbice à proposta, e</w:t>
      </w:r>
      <w:r w:rsidR="0000779C" w:rsidRPr="00CB6FAB">
        <w:rPr>
          <w:rFonts w:ascii="Palatino Linotype" w:hAnsi="Palatino Linotype"/>
          <w:sz w:val="24"/>
          <w:szCs w:val="24"/>
        </w:rPr>
        <w:t>s</w:t>
      </w:r>
      <w:r w:rsidR="0000779C" w:rsidRPr="00CB6FAB">
        <w:rPr>
          <w:rFonts w:ascii="Palatino Linotype" w:hAnsi="Palatino Linotype"/>
          <w:sz w:val="24"/>
          <w:szCs w:val="24"/>
        </w:rPr>
        <w:t xml:space="preserve">corada nos princípios constitucionais da dignidade da pessoa humana e também da solidariedade. </w:t>
      </w:r>
      <w:r w:rsidR="00E108EE">
        <w:rPr>
          <w:rFonts w:ascii="Palatino Linotype" w:hAnsi="Palatino Linotype"/>
          <w:sz w:val="24"/>
          <w:szCs w:val="24"/>
        </w:rPr>
        <w:t>A isenção outorgada às pessoas com deficiência</w:t>
      </w:r>
      <w:r w:rsidR="0000779C" w:rsidRPr="00CB6FAB">
        <w:rPr>
          <w:rFonts w:ascii="Palatino Linotype" w:hAnsi="Palatino Linotype"/>
          <w:sz w:val="24"/>
          <w:szCs w:val="24"/>
        </w:rPr>
        <w:t xml:space="preserve"> mostra-se, portanto, adequada e proporcional ao fim almejado.</w:t>
      </w:r>
    </w:p>
    <w:p w:rsidR="007B1143" w:rsidRPr="00CB6FAB" w:rsidRDefault="007B1143" w:rsidP="009372DA">
      <w:pPr>
        <w:spacing w:after="0" w:line="360" w:lineRule="auto"/>
        <w:jc w:val="both"/>
        <w:rPr>
          <w:rFonts w:ascii="Palatino Linotype" w:hAnsi="Palatino Linotype"/>
          <w:sz w:val="24"/>
          <w:szCs w:val="24"/>
        </w:rPr>
      </w:pPr>
    </w:p>
    <w:p w:rsidR="00C1296F" w:rsidRDefault="001B15B4" w:rsidP="0000779C">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A</w:t>
      </w:r>
      <w:r w:rsidR="0000779C" w:rsidRPr="00CB6FAB">
        <w:rPr>
          <w:rFonts w:ascii="Palatino Linotype" w:hAnsi="Palatino Linotype"/>
          <w:sz w:val="24"/>
          <w:szCs w:val="24"/>
        </w:rPr>
        <w:t>demais, a</w:t>
      </w:r>
      <w:r w:rsidRPr="00CB6FAB">
        <w:rPr>
          <w:rFonts w:ascii="Palatino Linotype" w:hAnsi="Palatino Linotype"/>
          <w:sz w:val="24"/>
          <w:szCs w:val="24"/>
        </w:rPr>
        <w:t xml:space="preserve"> proposição está de acordo</w:t>
      </w:r>
      <w:r w:rsidR="0000779C" w:rsidRPr="00CB6FAB">
        <w:rPr>
          <w:rFonts w:ascii="Palatino Linotype" w:hAnsi="Palatino Linotype"/>
          <w:sz w:val="24"/>
          <w:szCs w:val="24"/>
        </w:rPr>
        <w:t xml:space="preserve"> </w:t>
      </w:r>
      <w:r w:rsidRPr="00CB6FAB">
        <w:rPr>
          <w:rFonts w:ascii="Palatino Linotype" w:hAnsi="Palatino Linotype"/>
          <w:sz w:val="24"/>
          <w:szCs w:val="24"/>
        </w:rPr>
        <w:t>com o que dispõem diversas no</w:t>
      </w:r>
      <w:r w:rsidRPr="00CB6FAB">
        <w:rPr>
          <w:rFonts w:ascii="Palatino Linotype" w:hAnsi="Palatino Linotype"/>
          <w:sz w:val="24"/>
          <w:szCs w:val="24"/>
        </w:rPr>
        <w:t>r</w:t>
      </w:r>
      <w:r w:rsidRPr="00CB6FAB">
        <w:rPr>
          <w:rFonts w:ascii="Palatino Linotype" w:hAnsi="Palatino Linotype"/>
          <w:sz w:val="24"/>
          <w:szCs w:val="24"/>
        </w:rPr>
        <w:t>mas estaduais e municipais quanto à isenção de taxas de inscrição de concursos p</w:t>
      </w:r>
      <w:r w:rsidRPr="00CB6FAB">
        <w:rPr>
          <w:rFonts w:ascii="Palatino Linotype" w:hAnsi="Palatino Linotype"/>
          <w:sz w:val="24"/>
          <w:szCs w:val="24"/>
        </w:rPr>
        <w:t>ú</w:t>
      </w:r>
      <w:r w:rsidRPr="00CB6FAB">
        <w:rPr>
          <w:rFonts w:ascii="Palatino Linotype" w:hAnsi="Palatino Linotype"/>
          <w:sz w:val="24"/>
          <w:szCs w:val="24"/>
        </w:rPr>
        <w:t xml:space="preserve">blicos e materializa preceitos que guardam relação de nexo e pertinência com essas normas. </w:t>
      </w:r>
    </w:p>
    <w:p w:rsidR="00C1296F" w:rsidRDefault="00C1296F" w:rsidP="0000779C">
      <w:pPr>
        <w:spacing w:after="0" w:line="360" w:lineRule="auto"/>
        <w:ind w:firstLine="1134"/>
        <w:jc w:val="both"/>
        <w:rPr>
          <w:rFonts w:ascii="Palatino Linotype" w:hAnsi="Palatino Linotype"/>
          <w:sz w:val="24"/>
          <w:szCs w:val="24"/>
        </w:rPr>
      </w:pPr>
    </w:p>
    <w:p w:rsidR="00F85172" w:rsidRPr="00CB6FAB" w:rsidRDefault="00F85172" w:rsidP="00C05E4B">
      <w:pPr>
        <w:pStyle w:val="PargrafodaLista"/>
        <w:numPr>
          <w:ilvl w:val="0"/>
          <w:numId w:val="1"/>
        </w:numPr>
        <w:spacing w:after="0" w:line="360" w:lineRule="auto"/>
        <w:jc w:val="both"/>
        <w:rPr>
          <w:rFonts w:ascii="Palatino Linotype" w:hAnsi="Palatino Linotype"/>
          <w:b/>
          <w:sz w:val="24"/>
          <w:szCs w:val="24"/>
        </w:rPr>
      </w:pPr>
      <w:r w:rsidRPr="00CB6FAB">
        <w:rPr>
          <w:rFonts w:ascii="Palatino Linotype" w:hAnsi="Palatino Linotype"/>
          <w:b/>
          <w:sz w:val="24"/>
          <w:szCs w:val="24"/>
        </w:rPr>
        <w:t>CONCLUSÃO</w:t>
      </w:r>
    </w:p>
    <w:p w:rsidR="00F85172" w:rsidRPr="00CB6FAB" w:rsidRDefault="00F85172" w:rsidP="00C022E8">
      <w:pPr>
        <w:spacing w:after="0" w:line="360" w:lineRule="auto"/>
        <w:jc w:val="both"/>
        <w:rPr>
          <w:rFonts w:ascii="Palatino Linotype" w:hAnsi="Palatino Linotype"/>
          <w:b/>
          <w:sz w:val="24"/>
          <w:szCs w:val="24"/>
        </w:rPr>
      </w:pPr>
    </w:p>
    <w:p w:rsidR="00F85172" w:rsidRDefault="00F85172" w:rsidP="00C022E8">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Diante do</w:t>
      </w:r>
      <w:r w:rsidR="002E35AB" w:rsidRPr="00CB6FAB">
        <w:rPr>
          <w:rFonts w:ascii="Palatino Linotype" w:hAnsi="Palatino Linotype"/>
          <w:sz w:val="24"/>
          <w:szCs w:val="24"/>
        </w:rPr>
        <w:t>s fundamentos</w:t>
      </w:r>
      <w:r w:rsidRPr="00CB6FAB">
        <w:rPr>
          <w:rFonts w:ascii="Palatino Linotype" w:hAnsi="Palatino Linotype"/>
          <w:sz w:val="24"/>
          <w:szCs w:val="24"/>
        </w:rPr>
        <w:t xml:space="preserve"> exposto</w:t>
      </w:r>
      <w:r w:rsidR="002E35AB" w:rsidRPr="00CB6FAB">
        <w:rPr>
          <w:rFonts w:ascii="Palatino Linotype" w:hAnsi="Palatino Linotype"/>
          <w:sz w:val="24"/>
          <w:szCs w:val="24"/>
        </w:rPr>
        <w:t>s</w:t>
      </w:r>
      <w:r w:rsidRPr="00CB6FAB">
        <w:rPr>
          <w:rFonts w:ascii="Palatino Linotype" w:hAnsi="Palatino Linotype"/>
          <w:sz w:val="24"/>
          <w:szCs w:val="24"/>
        </w:rPr>
        <w:t xml:space="preserve">, a Procuradoria </w:t>
      </w:r>
      <w:r w:rsidRPr="00CB6FAB">
        <w:rPr>
          <w:rFonts w:ascii="Palatino Linotype" w:hAnsi="Palatino Linotype"/>
          <w:b/>
          <w:sz w:val="24"/>
          <w:szCs w:val="24"/>
        </w:rPr>
        <w:t xml:space="preserve">opina </w:t>
      </w:r>
      <w:r w:rsidRPr="00CB6FAB">
        <w:rPr>
          <w:rFonts w:ascii="Palatino Linotype" w:hAnsi="Palatino Linotype"/>
          <w:sz w:val="24"/>
          <w:szCs w:val="24"/>
        </w:rPr>
        <w:t>pela legalidade e pela regular tramitação d</w:t>
      </w:r>
      <w:r w:rsidR="000714D3" w:rsidRPr="00CB6FAB">
        <w:rPr>
          <w:rFonts w:ascii="Palatino Linotype" w:hAnsi="Palatino Linotype"/>
          <w:sz w:val="24"/>
          <w:szCs w:val="24"/>
        </w:rPr>
        <w:t xml:space="preserve">o Projeto de Lei </w:t>
      </w:r>
      <w:r w:rsidR="00A72F37">
        <w:rPr>
          <w:rFonts w:ascii="Palatino Linotype" w:hAnsi="Palatino Linotype"/>
          <w:sz w:val="24"/>
          <w:szCs w:val="24"/>
        </w:rPr>
        <w:t xml:space="preserve">do Legislativo </w:t>
      </w:r>
      <w:r w:rsidR="000714D3" w:rsidRPr="00CB6FAB">
        <w:rPr>
          <w:rFonts w:ascii="Palatino Linotype" w:hAnsi="Palatino Linotype"/>
          <w:sz w:val="24"/>
          <w:szCs w:val="24"/>
        </w:rPr>
        <w:t xml:space="preserve">nº </w:t>
      </w:r>
      <w:r w:rsidR="00A72F37">
        <w:rPr>
          <w:rFonts w:ascii="Palatino Linotype" w:hAnsi="Palatino Linotype"/>
          <w:sz w:val="24"/>
          <w:szCs w:val="24"/>
        </w:rPr>
        <w:t>143</w:t>
      </w:r>
      <w:r w:rsidR="002E35AB" w:rsidRPr="00CB6FAB">
        <w:rPr>
          <w:rFonts w:ascii="Palatino Linotype" w:hAnsi="Palatino Linotype"/>
          <w:sz w:val="24"/>
          <w:szCs w:val="24"/>
        </w:rPr>
        <w:t>/202</w:t>
      </w:r>
      <w:r w:rsidR="00A72F37">
        <w:rPr>
          <w:rFonts w:ascii="Palatino Linotype" w:hAnsi="Palatino Linotype"/>
          <w:sz w:val="24"/>
          <w:szCs w:val="24"/>
        </w:rPr>
        <w:t>3</w:t>
      </w:r>
      <w:r w:rsidR="002E35AB" w:rsidRPr="00CB6FAB">
        <w:rPr>
          <w:rFonts w:ascii="Palatino Linotype" w:hAnsi="Palatino Linotype"/>
          <w:sz w:val="24"/>
          <w:szCs w:val="24"/>
        </w:rPr>
        <w:t>, por inexistirem vícios de n</w:t>
      </w:r>
      <w:r w:rsidR="002E35AB" w:rsidRPr="00CB6FAB">
        <w:rPr>
          <w:rFonts w:ascii="Palatino Linotype" w:hAnsi="Palatino Linotype"/>
          <w:sz w:val="24"/>
          <w:szCs w:val="24"/>
        </w:rPr>
        <w:t>a</w:t>
      </w:r>
      <w:r w:rsidR="002E35AB" w:rsidRPr="00CB6FAB">
        <w:rPr>
          <w:rFonts w:ascii="Palatino Linotype" w:hAnsi="Palatino Linotype"/>
          <w:sz w:val="24"/>
          <w:szCs w:val="24"/>
        </w:rPr>
        <w:t>tureza material ou formal que impeçam a sua deliberação em Plenário.</w:t>
      </w:r>
    </w:p>
    <w:p w:rsidR="00672DD5" w:rsidRDefault="00672DD5" w:rsidP="00C022E8">
      <w:pPr>
        <w:spacing w:after="0" w:line="360" w:lineRule="auto"/>
        <w:ind w:firstLine="1134"/>
        <w:jc w:val="both"/>
        <w:rPr>
          <w:rFonts w:ascii="Palatino Linotype" w:hAnsi="Palatino Linotype"/>
          <w:sz w:val="24"/>
          <w:szCs w:val="24"/>
        </w:rPr>
      </w:pPr>
    </w:p>
    <w:p w:rsidR="00672DD5" w:rsidRDefault="00672DD5" w:rsidP="00C022E8">
      <w:pPr>
        <w:spacing w:after="0" w:line="360" w:lineRule="auto"/>
        <w:ind w:firstLine="1134"/>
        <w:jc w:val="both"/>
        <w:rPr>
          <w:rFonts w:ascii="Palatino Linotype" w:hAnsi="Palatino Linotype"/>
          <w:sz w:val="24"/>
          <w:szCs w:val="24"/>
        </w:rPr>
      </w:pPr>
      <w:r>
        <w:rPr>
          <w:rFonts w:ascii="Palatino Linotype" w:hAnsi="Palatino Linotype"/>
          <w:sz w:val="24"/>
          <w:szCs w:val="24"/>
        </w:rPr>
        <w:t>É necessária a correção da cláusula de vigência para que conste apenas “</w:t>
      </w:r>
      <w:r w:rsidRPr="00672DD5">
        <w:rPr>
          <w:rFonts w:ascii="Palatino Linotype" w:hAnsi="Palatino Linotype"/>
          <w:sz w:val="24"/>
          <w:szCs w:val="24"/>
        </w:rPr>
        <w:t xml:space="preserve">Esta lei entra em </w:t>
      </w:r>
      <w:r>
        <w:rPr>
          <w:rFonts w:ascii="Palatino Linotype" w:hAnsi="Palatino Linotype"/>
          <w:sz w:val="24"/>
          <w:szCs w:val="24"/>
        </w:rPr>
        <w:t>vigor na data de sua publicação” e a correção do termo pessoa po</w:t>
      </w:r>
      <w:r>
        <w:rPr>
          <w:rFonts w:ascii="Palatino Linotype" w:hAnsi="Palatino Linotype"/>
          <w:sz w:val="24"/>
          <w:szCs w:val="24"/>
        </w:rPr>
        <w:t>r</w:t>
      </w:r>
      <w:r>
        <w:rPr>
          <w:rFonts w:ascii="Palatino Linotype" w:hAnsi="Palatino Linotype"/>
          <w:sz w:val="24"/>
          <w:szCs w:val="24"/>
        </w:rPr>
        <w:t>tadora de deficiência para pessoa com deficiência.</w:t>
      </w:r>
    </w:p>
    <w:p w:rsidR="00672DD5" w:rsidRDefault="00672DD5" w:rsidP="00C022E8">
      <w:pPr>
        <w:spacing w:after="0" w:line="360" w:lineRule="auto"/>
        <w:ind w:firstLine="1134"/>
        <w:jc w:val="both"/>
        <w:rPr>
          <w:rFonts w:ascii="Palatino Linotype" w:hAnsi="Palatino Linotype"/>
          <w:sz w:val="24"/>
          <w:szCs w:val="24"/>
        </w:rPr>
      </w:pPr>
    </w:p>
    <w:p w:rsidR="00672DD5" w:rsidRPr="00CB6FAB" w:rsidRDefault="00672DD5" w:rsidP="00C022E8">
      <w:pPr>
        <w:spacing w:after="0" w:line="360" w:lineRule="auto"/>
        <w:ind w:firstLine="1134"/>
        <w:jc w:val="both"/>
        <w:rPr>
          <w:rFonts w:ascii="Palatino Linotype" w:hAnsi="Palatino Linotype"/>
          <w:sz w:val="24"/>
          <w:szCs w:val="24"/>
        </w:rPr>
      </w:pPr>
      <w:r>
        <w:rPr>
          <w:rFonts w:ascii="Palatino Linotype" w:hAnsi="Palatino Linotype"/>
          <w:sz w:val="24"/>
          <w:szCs w:val="24"/>
        </w:rPr>
        <w:lastRenderedPageBreak/>
        <w:t>Cabe às Comissões Permanentes analisar sobre a isenção se dar apenas a pessoa com deficiência física, podendo caracterizar afronta ao princípio da isonomia.</w:t>
      </w:r>
    </w:p>
    <w:p w:rsidR="00F85172" w:rsidRPr="00CB6FAB" w:rsidRDefault="00F85172" w:rsidP="00F85172">
      <w:pPr>
        <w:spacing w:after="0" w:line="360" w:lineRule="auto"/>
        <w:ind w:firstLine="1134"/>
        <w:jc w:val="both"/>
        <w:rPr>
          <w:rFonts w:ascii="Palatino Linotype" w:hAnsi="Palatino Linotype"/>
          <w:sz w:val="24"/>
          <w:szCs w:val="24"/>
        </w:rPr>
      </w:pPr>
    </w:p>
    <w:p w:rsidR="00F85172" w:rsidRPr="00CB6FAB" w:rsidRDefault="00F85172" w:rsidP="00F85172">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É o parecer.</w:t>
      </w:r>
    </w:p>
    <w:p w:rsidR="00F85172" w:rsidRPr="00CB6FAB" w:rsidRDefault="00F85172" w:rsidP="00F85172">
      <w:pPr>
        <w:spacing w:after="0" w:line="360" w:lineRule="auto"/>
        <w:ind w:firstLine="1134"/>
        <w:jc w:val="both"/>
        <w:rPr>
          <w:rFonts w:ascii="Palatino Linotype" w:hAnsi="Palatino Linotype"/>
          <w:sz w:val="24"/>
          <w:szCs w:val="24"/>
        </w:rPr>
      </w:pPr>
    </w:p>
    <w:p w:rsidR="008138B2" w:rsidRPr="00CB6FAB" w:rsidRDefault="00FC7BD1" w:rsidP="00F85172">
      <w:pPr>
        <w:spacing w:after="0" w:line="360" w:lineRule="auto"/>
        <w:ind w:firstLine="1134"/>
        <w:jc w:val="both"/>
        <w:rPr>
          <w:rFonts w:ascii="Palatino Linotype" w:hAnsi="Palatino Linotype"/>
          <w:sz w:val="24"/>
          <w:szCs w:val="24"/>
        </w:rPr>
      </w:pPr>
      <w:r w:rsidRPr="00CB6FAB">
        <w:rPr>
          <w:rFonts w:ascii="Palatino Linotype" w:hAnsi="Palatino Linotype"/>
          <w:sz w:val="24"/>
          <w:szCs w:val="24"/>
        </w:rPr>
        <w:t xml:space="preserve">Guaíba, </w:t>
      </w:r>
      <w:r w:rsidR="00757BB7" w:rsidRPr="00CB6FAB">
        <w:rPr>
          <w:rFonts w:ascii="Palatino Linotype" w:hAnsi="Palatino Linotype"/>
          <w:sz w:val="24"/>
          <w:szCs w:val="24"/>
        </w:rPr>
        <w:t>2</w:t>
      </w:r>
      <w:r w:rsidR="00A72F37">
        <w:rPr>
          <w:rFonts w:ascii="Palatino Linotype" w:hAnsi="Palatino Linotype"/>
          <w:sz w:val="24"/>
          <w:szCs w:val="24"/>
        </w:rPr>
        <w:t>6</w:t>
      </w:r>
      <w:r w:rsidR="00757BB7" w:rsidRPr="00CB6FAB">
        <w:rPr>
          <w:rFonts w:ascii="Palatino Linotype" w:hAnsi="Palatino Linotype"/>
          <w:sz w:val="24"/>
          <w:szCs w:val="24"/>
        </w:rPr>
        <w:t xml:space="preserve"> de </w:t>
      </w:r>
      <w:r w:rsidR="00A72F37">
        <w:rPr>
          <w:rFonts w:ascii="Palatino Linotype" w:hAnsi="Palatino Linotype"/>
          <w:sz w:val="24"/>
          <w:szCs w:val="24"/>
        </w:rPr>
        <w:t>outu</w:t>
      </w:r>
      <w:r w:rsidR="00757BB7" w:rsidRPr="00CB6FAB">
        <w:rPr>
          <w:rFonts w:ascii="Palatino Linotype" w:hAnsi="Palatino Linotype"/>
          <w:sz w:val="24"/>
          <w:szCs w:val="24"/>
        </w:rPr>
        <w:t>bro de 202</w:t>
      </w:r>
      <w:r w:rsidR="00A72F37">
        <w:rPr>
          <w:rFonts w:ascii="Palatino Linotype" w:hAnsi="Palatino Linotype"/>
          <w:sz w:val="24"/>
          <w:szCs w:val="24"/>
        </w:rPr>
        <w:t>3</w:t>
      </w:r>
      <w:r w:rsidR="00F85172" w:rsidRPr="00CB6FAB">
        <w:rPr>
          <w:rFonts w:ascii="Palatino Linotype" w:hAnsi="Palatino Linotype"/>
          <w:sz w:val="24"/>
          <w:szCs w:val="24"/>
        </w:rPr>
        <w:t>.</w:t>
      </w:r>
    </w:p>
    <w:p w:rsidR="00C7445E" w:rsidRDefault="00C7445E" w:rsidP="00F85172">
      <w:pPr>
        <w:spacing w:after="0" w:line="360" w:lineRule="auto"/>
        <w:ind w:firstLine="1134"/>
        <w:jc w:val="both"/>
        <w:rPr>
          <w:rFonts w:ascii="Palatino Linotype" w:hAnsi="Palatino Linotype"/>
          <w:sz w:val="24"/>
          <w:szCs w:val="24"/>
        </w:rPr>
      </w:pPr>
    </w:p>
    <w:p w:rsidR="00672DD5" w:rsidRPr="00137D42" w:rsidRDefault="00672DD5" w:rsidP="00672DD5">
      <w:pPr>
        <w:spacing w:after="0" w:line="240" w:lineRule="auto"/>
        <w:jc w:val="center"/>
        <w:rPr>
          <w:rFonts w:ascii="Palatino Linotype" w:hAnsi="Palatino Linotype" w:cs="Times New Roman"/>
          <w:b/>
          <w:sz w:val="24"/>
          <w:szCs w:val="24"/>
        </w:rPr>
      </w:pPr>
    </w:p>
    <w:p w:rsidR="00672DD5" w:rsidRPr="00137D42" w:rsidRDefault="00672DD5" w:rsidP="00672DD5">
      <w:pPr>
        <w:spacing w:after="0" w:line="240" w:lineRule="auto"/>
        <w:jc w:val="center"/>
        <w:rPr>
          <w:rFonts w:ascii="Palatino Linotype" w:hAnsi="Palatino Linotype" w:cs="Times New Roman"/>
          <w:b/>
          <w:sz w:val="24"/>
          <w:szCs w:val="24"/>
        </w:rPr>
      </w:pPr>
      <w:r w:rsidRPr="00137D42">
        <w:rPr>
          <w:rFonts w:ascii="Palatino Linotype" w:hAnsi="Palatino Linotype" w:cs="Times New Roman"/>
          <w:b/>
          <w:sz w:val="24"/>
          <w:szCs w:val="24"/>
        </w:rPr>
        <w:t>FERNANDO HENRIQUE ESCOBAR BINS</w:t>
      </w:r>
    </w:p>
    <w:p w:rsidR="00672DD5" w:rsidRPr="00137D42" w:rsidRDefault="00672DD5" w:rsidP="00672DD5">
      <w:pPr>
        <w:spacing w:after="0" w:line="240" w:lineRule="auto"/>
        <w:jc w:val="center"/>
        <w:rPr>
          <w:rFonts w:ascii="Palatino Linotype" w:hAnsi="Palatino Linotype" w:cs="Times New Roman"/>
          <w:b/>
          <w:sz w:val="24"/>
          <w:szCs w:val="24"/>
        </w:rPr>
      </w:pPr>
      <w:r w:rsidRPr="00137D42">
        <w:rPr>
          <w:rFonts w:ascii="Palatino Linotype" w:hAnsi="Palatino Linotype" w:cs="Times New Roman"/>
          <w:sz w:val="24"/>
          <w:szCs w:val="24"/>
        </w:rPr>
        <w:t>Procurador-Geral</w:t>
      </w:r>
    </w:p>
    <w:p w:rsidR="00672DD5" w:rsidRPr="00137D42" w:rsidRDefault="00672DD5" w:rsidP="00672DD5">
      <w:pPr>
        <w:spacing w:after="0" w:line="240" w:lineRule="auto"/>
        <w:jc w:val="center"/>
        <w:rPr>
          <w:rFonts w:ascii="Palatino Linotype" w:hAnsi="Palatino Linotype" w:cs="Times New Roman"/>
          <w:sz w:val="24"/>
          <w:szCs w:val="24"/>
        </w:rPr>
      </w:pPr>
      <w:r w:rsidRPr="00137D42">
        <w:rPr>
          <w:rFonts w:ascii="Palatino Linotype" w:hAnsi="Palatino Linotype" w:cs="Times New Roman"/>
          <w:sz w:val="24"/>
          <w:szCs w:val="24"/>
        </w:rPr>
        <w:t>OAB/RS 107.136</w:t>
      </w:r>
    </w:p>
    <w:p w:rsidR="00672DD5" w:rsidRPr="00EB267C" w:rsidRDefault="00672DD5" w:rsidP="00672DD5">
      <w:pPr>
        <w:spacing w:after="0" w:line="360" w:lineRule="auto"/>
        <w:rPr>
          <w:rFonts w:ascii="Palatino Linotype" w:hAnsi="Palatino Linotype"/>
          <w:sz w:val="24"/>
          <w:szCs w:val="24"/>
        </w:rPr>
      </w:pPr>
    </w:p>
    <w:p w:rsidR="00672DD5" w:rsidRPr="00CA7D1D" w:rsidRDefault="00672DD5" w:rsidP="00672DD5">
      <w:pPr>
        <w:spacing w:after="0" w:line="360" w:lineRule="auto"/>
        <w:jc w:val="center"/>
        <w:rPr>
          <w:rFonts w:ascii="Palatino Linotype" w:hAnsi="Palatino Linotype"/>
          <w:sz w:val="24"/>
          <w:szCs w:val="24"/>
        </w:rPr>
      </w:pPr>
    </w:p>
    <w:p w:rsidR="00672DD5" w:rsidRPr="00CA7D1D" w:rsidRDefault="00672DD5" w:rsidP="00672DD5">
      <w:pPr>
        <w:spacing w:after="0" w:line="360" w:lineRule="auto"/>
        <w:jc w:val="center"/>
        <w:rPr>
          <w:rFonts w:ascii="Palatino Linotype" w:hAnsi="Palatino Linotype"/>
          <w:sz w:val="24"/>
          <w:szCs w:val="24"/>
        </w:rPr>
      </w:pPr>
    </w:p>
    <w:p w:rsidR="00672DD5" w:rsidRPr="00CB6FAB" w:rsidRDefault="00672DD5" w:rsidP="00F85172">
      <w:pPr>
        <w:spacing w:after="0" w:line="360" w:lineRule="auto"/>
        <w:ind w:firstLine="1134"/>
        <w:jc w:val="both"/>
        <w:rPr>
          <w:rFonts w:ascii="Palatino Linotype" w:hAnsi="Palatino Linotype"/>
          <w:sz w:val="24"/>
          <w:szCs w:val="24"/>
        </w:rPr>
      </w:pPr>
    </w:p>
    <w:p w:rsidR="00C7445E" w:rsidRPr="00CB6FAB" w:rsidRDefault="00C7445E" w:rsidP="00C7445E">
      <w:pPr>
        <w:spacing w:after="0" w:line="360" w:lineRule="auto"/>
        <w:ind w:firstLine="1134"/>
        <w:jc w:val="both"/>
        <w:rPr>
          <w:rFonts w:ascii="Palatino Linotype" w:hAnsi="Palatino Linotype"/>
          <w:sz w:val="24"/>
          <w:szCs w:val="24"/>
        </w:rPr>
      </w:pPr>
    </w:p>
    <w:sectPr w:rsidR="00C7445E" w:rsidRPr="00CB6FAB" w:rsidSect="00B365A3">
      <w:headerReference w:type="default" r:id="rId8"/>
      <w:footerReference w:type="default" r:id="rId9"/>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489B" w:rsidRDefault="008A489B" w:rsidP="00B365A3">
      <w:pPr>
        <w:spacing w:after="0" w:line="240" w:lineRule="auto"/>
      </w:pPr>
      <w:r>
        <w:separator/>
      </w:r>
    </w:p>
  </w:endnote>
  <w:endnote w:type="continuationSeparator" w:id="1">
    <w:p w:rsidR="008A489B" w:rsidRDefault="008A489B"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56282"/>
      <w:docPartObj>
        <w:docPartGallery w:val="Page Numbers (Bottom of Page)"/>
        <w:docPartUnique/>
      </w:docPartObj>
    </w:sdtPr>
    <w:sdtContent>
      <w:p w:rsidR="006F7458" w:rsidRDefault="006F7458">
        <w:pPr>
          <w:pStyle w:val="Rodap"/>
          <w:jc w:val="right"/>
        </w:pPr>
        <w:fldSimple w:instr=" PAGE   \* MERGEFORMAT ">
          <w:r w:rsidR="00A26D2D">
            <w:rPr>
              <w:noProof/>
            </w:rPr>
            <w:t>7</w:t>
          </w:r>
        </w:fldSimple>
      </w:p>
    </w:sdtContent>
  </w:sdt>
  <w:p w:rsidR="006F7458" w:rsidRDefault="006F745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489B" w:rsidRDefault="008A489B" w:rsidP="00B365A3">
      <w:pPr>
        <w:spacing w:after="0" w:line="240" w:lineRule="auto"/>
      </w:pPr>
      <w:r>
        <w:separator/>
      </w:r>
    </w:p>
  </w:footnote>
  <w:footnote w:type="continuationSeparator" w:id="1">
    <w:p w:rsidR="008A489B" w:rsidRDefault="008A489B"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B365A3"/>
    <w:rsid w:val="0000779C"/>
    <w:rsid w:val="00032713"/>
    <w:rsid w:val="00036BC1"/>
    <w:rsid w:val="00052488"/>
    <w:rsid w:val="000714D3"/>
    <w:rsid w:val="0011024F"/>
    <w:rsid w:val="00110DB4"/>
    <w:rsid w:val="001144C0"/>
    <w:rsid w:val="001532A2"/>
    <w:rsid w:val="00191EA8"/>
    <w:rsid w:val="001A0998"/>
    <w:rsid w:val="001B15B4"/>
    <w:rsid w:val="001C659A"/>
    <w:rsid w:val="001E0ECC"/>
    <w:rsid w:val="001F5FE9"/>
    <w:rsid w:val="001F6BDB"/>
    <w:rsid w:val="00203CED"/>
    <w:rsid w:val="00253C57"/>
    <w:rsid w:val="00274AF9"/>
    <w:rsid w:val="002A72CA"/>
    <w:rsid w:val="002C5C7D"/>
    <w:rsid w:val="002D50AC"/>
    <w:rsid w:val="002E35AB"/>
    <w:rsid w:val="002E6A65"/>
    <w:rsid w:val="00314786"/>
    <w:rsid w:val="003355AE"/>
    <w:rsid w:val="003617F4"/>
    <w:rsid w:val="00371666"/>
    <w:rsid w:val="003730A1"/>
    <w:rsid w:val="00387D24"/>
    <w:rsid w:val="003A288D"/>
    <w:rsid w:val="003C2AD6"/>
    <w:rsid w:val="003E7FDD"/>
    <w:rsid w:val="00405170"/>
    <w:rsid w:val="0041616C"/>
    <w:rsid w:val="00447D2C"/>
    <w:rsid w:val="004605D3"/>
    <w:rsid w:val="00465E27"/>
    <w:rsid w:val="004945E1"/>
    <w:rsid w:val="004C31B1"/>
    <w:rsid w:val="005825BF"/>
    <w:rsid w:val="005C0121"/>
    <w:rsid w:val="00620F14"/>
    <w:rsid w:val="0063370E"/>
    <w:rsid w:val="006416DA"/>
    <w:rsid w:val="0065091C"/>
    <w:rsid w:val="00664EC9"/>
    <w:rsid w:val="00672DD5"/>
    <w:rsid w:val="00673634"/>
    <w:rsid w:val="00683721"/>
    <w:rsid w:val="00684934"/>
    <w:rsid w:val="00686120"/>
    <w:rsid w:val="006A67AB"/>
    <w:rsid w:val="006B4CE4"/>
    <w:rsid w:val="006C0135"/>
    <w:rsid w:val="006E6EC4"/>
    <w:rsid w:val="006E7EE8"/>
    <w:rsid w:val="006F7458"/>
    <w:rsid w:val="00721E7F"/>
    <w:rsid w:val="007520A0"/>
    <w:rsid w:val="00752F5F"/>
    <w:rsid w:val="00757BB7"/>
    <w:rsid w:val="007854E6"/>
    <w:rsid w:val="007B1143"/>
    <w:rsid w:val="007C7107"/>
    <w:rsid w:val="007E0B33"/>
    <w:rsid w:val="00811016"/>
    <w:rsid w:val="008138B2"/>
    <w:rsid w:val="00814386"/>
    <w:rsid w:val="008165C9"/>
    <w:rsid w:val="00820BFB"/>
    <w:rsid w:val="008426D4"/>
    <w:rsid w:val="00847C81"/>
    <w:rsid w:val="00867DB8"/>
    <w:rsid w:val="008A02A8"/>
    <w:rsid w:val="008A489B"/>
    <w:rsid w:val="008D5E73"/>
    <w:rsid w:val="008E027D"/>
    <w:rsid w:val="008E2471"/>
    <w:rsid w:val="00905B60"/>
    <w:rsid w:val="00906A5A"/>
    <w:rsid w:val="009372DA"/>
    <w:rsid w:val="00965DF3"/>
    <w:rsid w:val="009677B1"/>
    <w:rsid w:val="009762CB"/>
    <w:rsid w:val="009A1232"/>
    <w:rsid w:val="009B7D3B"/>
    <w:rsid w:val="009E03A3"/>
    <w:rsid w:val="00A12F02"/>
    <w:rsid w:val="00A25FA3"/>
    <w:rsid w:val="00A26D2D"/>
    <w:rsid w:val="00A35C02"/>
    <w:rsid w:val="00A72F37"/>
    <w:rsid w:val="00A77DF1"/>
    <w:rsid w:val="00A808BC"/>
    <w:rsid w:val="00A91A8F"/>
    <w:rsid w:val="00AC5908"/>
    <w:rsid w:val="00AE7283"/>
    <w:rsid w:val="00AF6E8B"/>
    <w:rsid w:val="00B04A3C"/>
    <w:rsid w:val="00B365A3"/>
    <w:rsid w:val="00B61C96"/>
    <w:rsid w:val="00BB797F"/>
    <w:rsid w:val="00C000CF"/>
    <w:rsid w:val="00C022E8"/>
    <w:rsid w:val="00C05E4B"/>
    <w:rsid w:val="00C07345"/>
    <w:rsid w:val="00C12338"/>
    <w:rsid w:val="00C1296F"/>
    <w:rsid w:val="00C26A4D"/>
    <w:rsid w:val="00C72C1D"/>
    <w:rsid w:val="00C7445E"/>
    <w:rsid w:val="00C91EEF"/>
    <w:rsid w:val="00CA219B"/>
    <w:rsid w:val="00CB6FAB"/>
    <w:rsid w:val="00CE530B"/>
    <w:rsid w:val="00CF2F22"/>
    <w:rsid w:val="00D43D8F"/>
    <w:rsid w:val="00D632CA"/>
    <w:rsid w:val="00D6518A"/>
    <w:rsid w:val="00D916B6"/>
    <w:rsid w:val="00DA7A73"/>
    <w:rsid w:val="00DC0FFE"/>
    <w:rsid w:val="00DD3F5B"/>
    <w:rsid w:val="00E03304"/>
    <w:rsid w:val="00E05BEE"/>
    <w:rsid w:val="00E108EE"/>
    <w:rsid w:val="00E33F00"/>
    <w:rsid w:val="00E501C1"/>
    <w:rsid w:val="00E5368A"/>
    <w:rsid w:val="00E74BED"/>
    <w:rsid w:val="00EA5E76"/>
    <w:rsid w:val="00F00675"/>
    <w:rsid w:val="00F6334E"/>
    <w:rsid w:val="00F6465F"/>
    <w:rsid w:val="00F67B24"/>
    <w:rsid w:val="00F85172"/>
    <w:rsid w:val="00F94625"/>
    <w:rsid w:val="00FA2949"/>
    <w:rsid w:val="00FA2D7A"/>
    <w:rsid w:val="00FB1678"/>
    <w:rsid w:val="00FB1DF2"/>
    <w:rsid w:val="00FC3435"/>
    <w:rsid w:val="00FC4FA4"/>
    <w:rsid w:val="00FC73BE"/>
    <w:rsid w:val="00FC7BD1"/>
    <w:rsid w:val="00FE276F"/>
    <w:rsid w:val="00FF1F3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AE728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CA219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A219B"/>
    <w:rPr>
      <w:sz w:val="20"/>
      <w:szCs w:val="20"/>
    </w:rPr>
  </w:style>
  <w:style w:type="character" w:styleId="Refdenotaderodap">
    <w:name w:val="footnote reference"/>
    <w:basedOn w:val="Fontepargpadro"/>
    <w:uiPriority w:val="99"/>
    <w:semiHidden/>
    <w:unhideWhenUsed/>
    <w:rsid w:val="00CA219B"/>
    <w:rPr>
      <w:vertAlign w:val="superscript"/>
    </w:rPr>
  </w:style>
</w:styles>
</file>

<file path=word/webSettings.xml><?xml version="1.0" encoding="utf-8"?>
<w:webSettings xmlns:r="http://schemas.openxmlformats.org/officeDocument/2006/relationships" xmlns:w="http://schemas.openxmlformats.org/wordprocessingml/2006/main">
  <w:divs>
    <w:div w:id="249505802">
      <w:bodyDiv w:val="1"/>
      <w:marLeft w:val="0"/>
      <w:marRight w:val="0"/>
      <w:marTop w:val="0"/>
      <w:marBottom w:val="0"/>
      <w:divBdr>
        <w:top w:val="none" w:sz="0" w:space="0" w:color="auto"/>
        <w:left w:val="none" w:sz="0" w:space="0" w:color="auto"/>
        <w:bottom w:val="none" w:sz="0" w:space="0" w:color="auto"/>
        <w:right w:val="none" w:sz="0" w:space="0" w:color="auto"/>
      </w:divBdr>
    </w:div>
    <w:div w:id="433746512">
      <w:bodyDiv w:val="1"/>
      <w:marLeft w:val="0"/>
      <w:marRight w:val="0"/>
      <w:marTop w:val="0"/>
      <w:marBottom w:val="0"/>
      <w:divBdr>
        <w:top w:val="none" w:sz="0" w:space="0" w:color="auto"/>
        <w:left w:val="none" w:sz="0" w:space="0" w:color="auto"/>
        <w:bottom w:val="none" w:sz="0" w:space="0" w:color="auto"/>
        <w:right w:val="none" w:sz="0" w:space="0" w:color="auto"/>
      </w:divBdr>
    </w:div>
    <w:div w:id="862475411">
      <w:bodyDiv w:val="1"/>
      <w:marLeft w:val="0"/>
      <w:marRight w:val="0"/>
      <w:marTop w:val="0"/>
      <w:marBottom w:val="0"/>
      <w:divBdr>
        <w:top w:val="none" w:sz="0" w:space="0" w:color="auto"/>
        <w:left w:val="none" w:sz="0" w:space="0" w:color="auto"/>
        <w:bottom w:val="none" w:sz="0" w:space="0" w:color="auto"/>
        <w:right w:val="none" w:sz="0" w:space="0" w:color="auto"/>
      </w:divBdr>
    </w:div>
    <w:div w:id="145636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A5377-A7F4-4A3B-ACFC-34F30DEA8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814</TotalTime>
  <Pages>1</Pages>
  <Words>1680</Words>
  <Characters>9075</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Juridico</dc:creator>
  <cp:lastModifiedBy>Admin</cp:lastModifiedBy>
  <cp:revision>66</cp:revision>
  <cp:lastPrinted>2017-11-20T12:04:00Z</cp:lastPrinted>
  <dcterms:created xsi:type="dcterms:W3CDTF">2017-09-08T17:16:00Z</dcterms:created>
  <dcterms:modified xsi:type="dcterms:W3CDTF">2023-10-26T18:34:00Z</dcterms:modified>
</cp:coreProperties>
</file>