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2C1217" w:rsidRDefault="008138B2" w:rsidP="002C12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2C1217">
        <w:rPr>
          <w:rFonts w:ascii="Palatino Linotype" w:hAnsi="Palatino Linotype"/>
          <w:b/>
          <w:sz w:val="24"/>
          <w:szCs w:val="24"/>
        </w:rPr>
        <w:t>PARECER JURÍDICO</w:t>
      </w:r>
      <w:r w:rsidR="002C1217" w:rsidRPr="002C1217">
        <w:rPr>
          <w:rFonts w:ascii="Palatino Linotype" w:hAnsi="Palatino Linotype"/>
          <w:b/>
          <w:sz w:val="24"/>
          <w:szCs w:val="24"/>
        </w:rPr>
        <w:t xml:space="preserve"> Nº </w:t>
      </w:r>
      <w:r w:rsidR="00CF0178">
        <w:rPr>
          <w:rFonts w:ascii="Palatino Linotype" w:hAnsi="Palatino Linotype"/>
          <w:b/>
          <w:sz w:val="24"/>
          <w:szCs w:val="24"/>
        </w:rPr>
        <w:t>323</w:t>
      </w:r>
      <w:r w:rsidR="002C1217" w:rsidRPr="002C1217">
        <w:rPr>
          <w:rFonts w:ascii="Palatino Linotype" w:hAnsi="Palatino Linotype"/>
          <w:b/>
          <w:sz w:val="24"/>
          <w:szCs w:val="24"/>
        </w:rPr>
        <w:t>/202</w:t>
      </w:r>
      <w:r w:rsidR="00CF0178">
        <w:rPr>
          <w:rFonts w:ascii="Palatino Linotype" w:hAnsi="Palatino Linotype"/>
          <w:b/>
          <w:sz w:val="24"/>
          <w:szCs w:val="24"/>
        </w:rPr>
        <w:t>3</w:t>
      </w:r>
    </w:p>
    <w:p w:rsidR="008138B2" w:rsidRPr="002C1217" w:rsidRDefault="008138B2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8138B2" w:rsidRPr="002C1217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C1217">
        <w:rPr>
          <w:rFonts w:ascii="Palatino Linotype" w:hAnsi="Palatino Linotype"/>
          <w:b/>
          <w:sz w:val="24"/>
          <w:szCs w:val="24"/>
        </w:rPr>
        <w:t>RELATÓRIO</w:t>
      </w:r>
    </w:p>
    <w:p w:rsidR="008138B2" w:rsidRPr="002C1217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44C1B" w:rsidRDefault="00C743A1" w:rsidP="00CD1F1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2C1217">
        <w:rPr>
          <w:rFonts w:ascii="Palatino Linotype" w:hAnsi="Palatino Linotype"/>
          <w:sz w:val="24"/>
          <w:szCs w:val="24"/>
        </w:rPr>
        <w:t>O Poder Executivo Municipal</w:t>
      </w:r>
      <w:r w:rsidR="007D6D94" w:rsidRPr="002C1217">
        <w:rPr>
          <w:rFonts w:ascii="Palatino Linotype" w:hAnsi="Palatino Linotype"/>
          <w:sz w:val="24"/>
          <w:szCs w:val="24"/>
        </w:rPr>
        <w:t xml:space="preserve"> </w:t>
      </w:r>
      <w:r w:rsidR="009E03A3" w:rsidRPr="002C1217">
        <w:rPr>
          <w:rFonts w:ascii="Palatino Linotype" w:hAnsi="Palatino Linotype"/>
          <w:sz w:val="24"/>
          <w:szCs w:val="24"/>
        </w:rPr>
        <w:t>apresentou o Projeto de Lei</w:t>
      </w:r>
      <w:r w:rsidR="00CF0178">
        <w:rPr>
          <w:rFonts w:ascii="Palatino Linotype" w:hAnsi="Palatino Linotype"/>
          <w:sz w:val="24"/>
          <w:szCs w:val="24"/>
        </w:rPr>
        <w:t xml:space="preserve"> do Executivo</w:t>
      </w:r>
      <w:r w:rsidR="009E03A3" w:rsidRPr="002C1217">
        <w:rPr>
          <w:rFonts w:ascii="Palatino Linotype" w:hAnsi="Palatino Linotype"/>
          <w:sz w:val="24"/>
          <w:szCs w:val="24"/>
        </w:rPr>
        <w:t xml:space="preserve"> nº </w:t>
      </w:r>
      <w:r w:rsidR="006542A4">
        <w:rPr>
          <w:rFonts w:ascii="Palatino Linotype" w:hAnsi="Palatino Linotype"/>
          <w:sz w:val="24"/>
          <w:szCs w:val="24"/>
        </w:rPr>
        <w:t>0</w:t>
      </w:r>
      <w:r w:rsidR="00CF0178">
        <w:rPr>
          <w:rFonts w:ascii="Palatino Linotype" w:hAnsi="Palatino Linotype"/>
          <w:sz w:val="24"/>
          <w:szCs w:val="24"/>
        </w:rPr>
        <w:t>71</w:t>
      </w:r>
      <w:r w:rsidR="009E03A3" w:rsidRPr="002C1217">
        <w:rPr>
          <w:rFonts w:ascii="Palatino Linotype" w:hAnsi="Palatino Linotype"/>
          <w:sz w:val="24"/>
          <w:szCs w:val="24"/>
        </w:rPr>
        <w:t>/</w:t>
      </w:r>
      <w:r w:rsidR="00102CC9" w:rsidRPr="002C1217">
        <w:rPr>
          <w:rFonts w:ascii="Palatino Linotype" w:hAnsi="Palatino Linotype"/>
          <w:sz w:val="24"/>
          <w:szCs w:val="24"/>
        </w:rPr>
        <w:t>20</w:t>
      </w:r>
      <w:r w:rsidR="002C1217">
        <w:rPr>
          <w:rFonts w:ascii="Palatino Linotype" w:hAnsi="Palatino Linotype"/>
          <w:sz w:val="24"/>
          <w:szCs w:val="24"/>
        </w:rPr>
        <w:t>2</w:t>
      </w:r>
      <w:r w:rsidR="00CF0178">
        <w:rPr>
          <w:rFonts w:ascii="Palatino Linotype" w:hAnsi="Palatino Linotype"/>
          <w:sz w:val="24"/>
          <w:szCs w:val="24"/>
        </w:rPr>
        <w:t>3</w:t>
      </w:r>
      <w:r w:rsidR="009E03A3" w:rsidRPr="002C1217">
        <w:rPr>
          <w:rFonts w:ascii="Palatino Linotype" w:hAnsi="Palatino Linotype"/>
          <w:sz w:val="24"/>
          <w:szCs w:val="24"/>
        </w:rPr>
        <w:t xml:space="preserve"> à Câmara Municipal</w:t>
      </w:r>
      <w:r w:rsidR="008138B2" w:rsidRPr="002C1217">
        <w:rPr>
          <w:rFonts w:ascii="Palatino Linotype" w:hAnsi="Palatino Linotype"/>
          <w:sz w:val="24"/>
          <w:szCs w:val="24"/>
        </w:rPr>
        <w:t>,</w:t>
      </w:r>
      <w:r w:rsidR="009E03A3" w:rsidRPr="002C1217">
        <w:rPr>
          <w:rFonts w:ascii="Palatino Linotype" w:hAnsi="Palatino Linotype"/>
          <w:sz w:val="24"/>
          <w:szCs w:val="24"/>
        </w:rPr>
        <w:t xml:space="preserve"> </w:t>
      </w:r>
      <w:r w:rsidRPr="002C1217">
        <w:rPr>
          <w:rFonts w:ascii="Palatino Linotype" w:hAnsi="Palatino Linotype"/>
          <w:sz w:val="24"/>
          <w:szCs w:val="24"/>
        </w:rPr>
        <w:t>o qual “</w:t>
      </w:r>
      <w:r w:rsidR="00CF0178" w:rsidRPr="00CF0178">
        <w:rPr>
          <w:rFonts w:ascii="Palatino Linotype" w:hAnsi="Palatino Linotype"/>
          <w:sz w:val="24"/>
          <w:szCs w:val="24"/>
        </w:rPr>
        <w:t>Altera as Leis Municipais nº 1.116/1993 e nº 2.586/2010, e dá outras providências</w:t>
      </w:r>
      <w:r w:rsidRPr="002C1217">
        <w:rPr>
          <w:rFonts w:ascii="Palatino Linotype" w:hAnsi="Palatino Linotype"/>
          <w:sz w:val="24"/>
          <w:szCs w:val="24"/>
        </w:rPr>
        <w:t>”</w:t>
      </w:r>
      <w:r w:rsidR="00F7714F" w:rsidRPr="002C1217">
        <w:rPr>
          <w:rFonts w:ascii="Palatino Linotype" w:hAnsi="Palatino Linotype"/>
          <w:sz w:val="24"/>
          <w:szCs w:val="24"/>
        </w:rPr>
        <w:t>. A proposta foi</w:t>
      </w:r>
      <w:r w:rsidR="00C975AA" w:rsidRPr="002C1217">
        <w:rPr>
          <w:rFonts w:ascii="Palatino Linotype" w:hAnsi="Palatino Linotype"/>
          <w:sz w:val="24"/>
          <w:szCs w:val="24"/>
        </w:rPr>
        <w:t xml:space="preserve"> </w:t>
      </w:r>
      <w:r w:rsidR="00F7714F" w:rsidRPr="002C1217">
        <w:rPr>
          <w:rFonts w:ascii="Palatino Linotype" w:hAnsi="Palatino Linotype"/>
          <w:sz w:val="24"/>
          <w:szCs w:val="24"/>
        </w:rPr>
        <w:t>encaminhada à Procuradoria pela Presidência para análise nos termos do art</w:t>
      </w:r>
      <w:r w:rsidR="00102CC9" w:rsidRPr="002C1217">
        <w:rPr>
          <w:rFonts w:ascii="Palatino Linotype" w:hAnsi="Palatino Linotype"/>
          <w:sz w:val="24"/>
          <w:szCs w:val="24"/>
        </w:rPr>
        <w:t>.</w:t>
      </w:r>
      <w:r w:rsidR="00F7714F" w:rsidRPr="002C1217">
        <w:rPr>
          <w:rFonts w:ascii="Palatino Linotype" w:hAnsi="Palatino Linotype"/>
          <w:sz w:val="24"/>
          <w:szCs w:val="24"/>
        </w:rPr>
        <w:t xml:space="preserve"> </w:t>
      </w:r>
      <w:r w:rsidR="00CF0178">
        <w:rPr>
          <w:rFonts w:ascii="Palatino Linotype" w:hAnsi="Palatino Linotype"/>
          <w:sz w:val="24"/>
          <w:szCs w:val="24"/>
        </w:rPr>
        <w:t>72</w:t>
      </w:r>
      <w:r w:rsidR="00F7714F" w:rsidRPr="002C1217">
        <w:rPr>
          <w:rFonts w:ascii="Palatino Linotype" w:hAnsi="Palatino Linotype"/>
          <w:sz w:val="24"/>
          <w:szCs w:val="24"/>
        </w:rPr>
        <w:t xml:space="preserve"> do Regimento Interno.</w:t>
      </w:r>
      <w:r w:rsidR="00993A3E" w:rsidRPr="002C1217">
        <w:rPr>
          <w:rFonts w:ascii="Palatino Linotype" w:hAnsi="Palatino Linotype"/>
          <w:sz w:val="24"/>
          <w:szCs w:val="24"/>
        </w:rPr>
        <w:t xml:space="preserve"> </w:t>
      </w:r>
      <w:r w:rsidR="00CF0178">
        <w:rPr>
          <w:rFonts w:ascii="Palatino Linotype" w:hAnsi="Palatino Linotype"/>
          <w:sz w:val="24"/>
          <w:szCs w:val="24"/>
        </w:rPr>
        <w:t>Em 7/11/2023 foi apresentada Mensagem Retificativa pelo proponente.</w:t>
      </w:r>
    </w:p>
    <w:p w:rsidR="00E44C1B" w:rsidRDefault="00E44C1B" w:rsidP="00CD1F1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F214D" w:rsidRDefault="00E345BD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C1217">
        <w:rPr>
          <w:rFonts w:ascii="Palatino Linotype" w:hAnsi="Palatino Linotype"/>
          <w:b/>
          <w:sz w:val="24"/>
          <w:szCs w:val="24"/>
        </w:rPr>
        <w:t>MÉRITO</w:t>
      </w:r>
    </w:p>
    <w:p w:rsidR="00B42041" w:rsidRDefault="00B42041" w:rsidP="00B42041">
      <w:pPr>
        <w:pStyle w:val="PargrafodaLista"/>
        <w:spacing w:after="0" w:line="360" w:lineRule="auto"/>
        <w:ind w:left="1494"/>
        <w:jc w:val="both"/>
        <w:rPr>
          <w:rFonts w:ascii="Palatino Linotype" w:hAnsi="Palatino Linotype"/>
          <w:b/>
          <w:sz w:val="24"/>
          <w:szCs w:val="24"/>
        </w:rPr>
      </w:pPr>
    </w:p>
    <w:p w:rsidR="008138B2" w:rsidRDefault="005F214D" w:rsidP="005F214D">
      <w:pPr>
        <w:pStyle w:val="PargrafodaLista"/>
        <w:numPr>
          <w:ilvl w:val="1"/>
          <w:numId w:val="2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5F214D">
        <w:rPr>
          <w:rFonts w:ascii="Palatino Linotype" w:hAnsi="Palatino Linotype"/>
          <w:b/>
          <w:sz w:val="24"/>
          <w:szCs w:val="24"/>
        </w:rPr>
        <w:t>Da competência e da iniciativa</w:t>
      </w:r>
    </w:p>
    <w:p w:rsidR="00B42041" w:rsidRPr="005F214D" w:rsidRDefault="00B42041" w:rsidP="00B42041">
      <w:pPr>
        <w:pStyle w:val="PargrafodaLista"/>
        <w:spacing w:after="0" w:line="360" w:lineRule="auto"/>
        <w:ind w:left="1854"/>
        <w:jc w:val="both"/>
        <w:rPr>
          <w:rFonts w:ascii="Palatino Linotype" w:hAnsi="Palatino Linotype"/>
          <w:b/>
          <w:sz w:val="24"/>
          <w:szCs w:val="24"/>
        </w:rPr>
      </w:pPr>
    </w:p>
    <w:p w:rsidR="00703164" w:rsidRDefault="00703164" w:rsidP="00CD1F1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2C1217">
        <w:rPr>
          <w:rFonts w:ascii="Palatino Linotype" w:hAnsi="Palatino Linotype"/>
          <w:sz w:val="24"/>
          <w:szCs w:val="24"/>
        </w:rPr>
        <w:t>Quanto à competência, não há qualquer óbice à proposta. Conforme di</w:t>
      </w:r>
      <w:r w:rsidRPr="002C1217">
        <w:rPr>
          <w:rFonts w:ascii="Palatino Linotype" w:hAnsi="Palatino Linotype"/>
          <w:sz w:val="24"/>
          <w:szCs w:val="24"/>
        </w:rPr>
        <w:t>s</w:t>
      </w:r>
      <w:r w:rsidRPr="002C1217">
        <w:rPr>
          <w:rFonts w:ascii="Palatino Linotype" w:hAnsi="Palatino Linotype"/>
          <w:sz w:val="24"/>
          <w:szCs w:val="24"/>
        </w:rPr>
        <w:t>põe o artigo 30, I, da Constituição Federal de 1988, “Compete aos Municípios legislar sobre assuntos de interesse local.” Do mesmo modo, o art. 6º, I, da Lei Orgânica M</w:t>
      </w:r>
      <w:r w:rsidRPr="002C1217">
        <w:rPr>
          <w:rFonts w:ascii="Palatino Linotype" w:hAnsi="Palatino Linotype"/>
          <w:sz w:val="24"/>
          <w:szCs w:val="24"/>
        </w:rPr>
        <w:t>u</w:t>
      </w:r>
      <w:r w:rsidRPr="002C1217">
        <w:rPr>
          <w:rFonts w:ascii="Palatino Linotype" w:hAnsi="Palatino Linotype"/>
          <w:sz w:val="24"/>
          <w:szCs w:val="24"/>
        </w:rPr>
        <w:t>nicipal refere que “Ao Município compete prover a tudo quanto diga respeito ao seu peculiar interesse e ao bem estar de sua população, cabendo-lhe privativamente de</w:t>
      </w:r>
      <w:r w:rsidRPr="002C1217">
        <w:rPr>
          <w:rFonts w:ascii="Palatino Linotype" w:hAnsi="Palatino Linotype"/>
          <w:sz w:val="24"/>
          <w:szCs w:val="24"/>
        </w:rPr>
        <w:t>n</w:t>
      </w:r>
      <w:r w:rsidRPr="002C1217">
        <w:rPr>
          <w:rFonts w:ascii="Palatino Linotype" w:hAnsi="Palatino Linotype"/>
          <w:sz w:val="24"/>
          <w:szCs w:val="24"/>
        </w:rPr>
        <w:t>tre outras, as seguintes atribuições: legislar sobre assunto de interesse local.”</w:t>
      </w:r>
    </w:p>
    <w:p w:rsidR="002C1217" w:rsidRDefault="002C1217" w:rsidP="00CD1F1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2C1217" w:rsidRPr="002C1217" w:rsidRDefault="002C1217" w:rsidP="00CD1F1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 E. Supremo Tribunal Federal em seus julgados assevera que a</w:t>
      </w:r>
      <w:r w:rsidRPr="002C1217">
        <w:rPr>
          <w:rFonts w:ascii="Palatino Linotype" w:hAnsi="Palatino Linotype"/>
          <w:sz w:val="24"/>
          <w:szCs w:val="24"/>
        </w:rPr>
        <w:t xml:space="preserve"> Constit</w:t>
      </w:r>
      <w:r w:rsidRPr="002C1217">
        <w:rPr>
          <w:rFonts w:ascii="Palatino Linotype" w:hAnsi="Palatino Linotype"/>
          <w:sz w:val="24"/>
          <w:szCs w:val="24"/>
        </w:rPr>
        <w:t>u</w:t>
      </w:r>
      <w:r w:rsidRPr="002C1217">
        <w:rPr>
          <w:rFonts w:ascii="Palatino Linotype" w:hAnsi="Palatino Linotype"/>
          <w:sz w:val="24"/>
          <w:szCs w:val="24"/>
        </w:rPr>
        <w:t>ição Federal consagrou o Município como entidade federativa indispensável ao nosso sistema federativo, integrando-o na organização político-administrativa e garanti</w:t>
      </w:r>
      <w:r w:rsidRPr="002C1217">
        <w:rPr>
          <w:rFonts w:ascii="Palatino Linotype" w:hAnsi="Palatino Linotype"/>
          <w:sz w:val="24"/>
          <w:szCs w:val="24"/>
        </w:rPr>
        <w:t>n</w:t>
      </w:r>
      <w:r w:rsidRPr="002C1217">
        <w:rPr>
          <w:rFonts w:ascii="Palatino Linotype" w:hAnsi="Palatino Linotype"/>
          <w:sz w:val="24"/>
          <w:szCs w:val="24"/>
        </w:rPr>
        <w:t xml:space="preserve">do-lhe plena autonomia, como se nota na análise dos artigos 1º, 18, 29, 30 e 34, VII, c, todos da Constituição Federal. </w:t>
      </w:r>
      <w:r>
        <w:rPr>
          <w:rFonts w:ascii="Palatino Linotype" w:hAnsi="Palatino Linotype"/>
          <w:sz w:val="24"/>
          <w:szCs w:val="24"/>
        </w:rPr>
        <w:t>Nesse sentido, a</w:t>
      </w:r>
      <w:r w:rsidRPr="002C1217">
        <w:rPr>
          <w:rFonts w:ascii="Palatino Linotype" w:hAnsi="Palatino Linotype"/>
          <w:sz w:val="24"/>
          <w:szCs w:val="24"/>
        </w:rPr>
        <w:t>s competências legislativas do mun</w:t>
      </w:r>
      <w:r w:rsidRPr="002C1217">
        <w:rPr>
          <w:rFonts w:ascii="Palatino Linotype" w:hAnsi="Palatino Linotype"/>
          <w:sz w:val="24"/>
          <w:szCs w:val="24"/>
        </w:rPr>
        <w:t>i</w:t>
      </w:r>
      <w:r w:rsidRPr="002C1217">
        <w:rPr>
          <w:rFonts w:ascii="Palatino Linotype" w:hAnsi="Palatino Linotype"/>
          <w:sz w:val="24"/>
          <w:szCs w:val="24"/>
        </w:rPr>
        <w:t>cípio caracterizam-se pelo princípio da predominância do interesse local, que, apesar</w:t>
      </w:r>
      <w:r w:rsidR="00326D07" w:rsidRPr="002C1217">
        <w:rPr>
          <w:rFonts w:ascii="Palatino Linotype" w:hAnsi="Palatino Linotype"/>
          <w:sz w:val="24"/>
          <w:szCs w:val="24"/>
        </w:rPr>
        <w:t xml:space="preserve"> </w:t>
      </w:r>
      <w:r w:rsidRPr="002C1217">
        <w:rPr>
          <w:rFonts w:ascii="Palatino Linotype" w:hAnsi="Palatino Linotype"/>
          <w:sz w:val="24"/>
          <w:szCs w:val="24"/>
        </w:rPr>
        <w:lastRenderedPageBreak/>
        <w:t>de difícil conceituação, refere-se àqueles interesses que disserem respeito mais dir</w:t>
      </w:r>
      <w:r w:rsidRPr="002C1217">
        <w:rPr>
          <w:rFonts w:ascii="Palatino Linotype" w:hAnsi="Palatino Linotype"/>
          <w:sz w:val="24"/>
          <w:szCs w:val="24"/>
        </w:rPr>
        <w:t>e</w:t>
      </w:r>
      <w:r w:rsidRPr="002C1217">
        <w:rPr>
          <w:rFonts w:ascii="Palatino Linotype" w:hAnsi="Palatino Linotype"/>
          <w:sz w:val="24"/>
          <w:szCs w:val="24"/>
        </w:rPr>
        <w:t>tamente às suas necessidades imediatas</w:t>
      </w:r>
      <w:r>
        <w:rPr>
          <w:rFonts w:ascii="Palatino Linotype" w:hAnsi="Palatino Linotype"/>
          <w:sz w:val="24"/>
          <w:szCs w:val="24"/>
        </w:rPr>
        <w:t>, o que é o caso da propositura legislativa em análise</w:t>
      </w:r>
      <w:r w:rsidRPr="002C1217">
        <w:rPr>
          <w:rFonts w:ascii="Palatino Linotype" w:hAnsi="Palatino Linotype"/>
          <w:sz w:val="24"/>
          <w:szCs w:val="24"/>
        </w:rPr>
        <w:t>.</w:t>
      </w:r>
    </w:p>
    <w:p w:rsidR="00703164" w:rsidRPr="002C1217" w:rsidRDefault="00703164" w:rsidP="00CD1F1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291760" w:rsidRPr="002C1217" w:rsidRDefault="00703164" w:rsidP="00CD1F1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2C1217">
        <w:rPr>
          <w:rFonts w:ascii="Palatino Linotype" w:hAnsi="Palatino Linotype"/>
          <w:sz w:val="24"/>
          <w:szCs w:val="24"/>
        </w:rPr>
        <w:t>Ve</w:t>
      </w:r>
      <w:r w:rsidR="006007AC" w:rsidRPr="002C1217">
        <w:rPr>
          <w:rFonts w:ascii="Palatino Linotype" w:hAnsi="Palatino Linotype"/>
          <w:sz w:val="24"/>
          <w:szCs w:val="24"/>
        </w:rPr>
        <w:t>rifica-se estar adequada a iniciativa para a deflagração do processo l</w:t>
      </w:r>
      <w:r w:rsidR="006007AC" w:rsidRPr="002C1217">
        <w:rPr>
          <w:rFonts w:ascii="Palatino Linotype" w:hAnsi="Palatino Linotype"/>
          <w:sz w:val="24"/>
          <w:szCs w:val="24"/>
        </w:rPr>
        <w:t>e</w:t>
      </w:r>
      <w:r w:rsidR="006007AC" w:rsidRPr="002C1217">
        <w:rPr>
          <w:rFonts w:ascii="Palatino Linotype" w:hAnsi="Palatino Linotype"/>
          <w:sz w:val="24"/>
          <w:szCs w:val="24"/>
        </w:rPr>
        <w:t>gislat</w:t>
      </w:r>
      <w:r w:rsidR="006007AC" w:rsidRPr="002C1217">
        <w:rPr>
          <w:rFonts w:ascii="Palatino Linotype" w:hAnsi="Palatino Linotype"/>
          <w:sz w:val="24"/>
          <w:szCs w:val="24"/>
        </w:rPr>
        <w:t>i</w:t>
      </w:r>
      <w:r w:rsidR="006007AC" w:rsidRPr="002C1217">
        <w:rPr>
          <w:rFonts w:ascii="Palatino Linotype" w:hAnsi="Palatino Linotype"/>
          <w:sz w:val="24"/>
          <w:szCs w:val="24"/>
        </w:rPr>
        <w:t xml:space="preserve">vo, uma vez que o projeto de lei apresentado </w:t>
      </w:r>
      <w:r w:rsidR="00607FBA" w:rsidRPr="002C1217">
        <w:rPr>
          <w:rFonts w:ascii="Palatino Linotype" w:hAnsi="Palatino Linotype"/>
          <w:sz w:val="24"/>
          <w:szCs w:val="24"/>
        </w:rPr>
        <w:t xml:space="preserve">trata </w:t>
      </w:r>
      <w:r w:rsidR="00620BA7" w:rsidRPr="002C1217">
        <w:rPr>
          <w:rFonts w:ascii="Palatino Linotype" w:hAnsi="Palatino Linotype"/>
          <w:sz w:val="24"/>
          <w:szCs w:val="24"/>
        </w:rPr>
        <w:t>da</w:t>
      </w:r>
      <w:r w:rsidR="00B7146C" w:rsidRPr="002C1217">
        <w:rPr>
          <w:rFonts w:ascii="Palatino Linotype" w:hAnsi="Palatino Linotype"/>
          <w:sz w:val="24"/>
          <w:szCs w:val="24"/>
        </w:rPr>
        <w:t xml:space="preserve"> </w:t>
      </w:r>
      <w:r w:rsidR="007D6D94" w:rsidRPr="002C1217">
        <w:rPr>
          <w:rFonts w:ascii="Palatino Linotype" w:hAnsi="Palatino Linotype"/>
          <w:sz w:val="24"/>
          <w:szCs w:val="24"/>
        </w:rPr>
        <w:t>organização do quadro de servidores d</w:t>
      </w:r>
      <w:r w:rsidR="004800F1">
        <w:rPr>
          <w:rFonts w:ascii="Palatino Linotype" w:hAnsi="Palatino Linotype"/>
          <w:sz w:val="24"/>
          <w:szCs w:val="24"/>
        </w:rPr>
        <w:t>e Autarquia Municipal</w:t>
      </w:r>
      <w:r w:rsidR="007D6D94" w:rsidRPr="002C1217">
        <w:rPr>
          <w:rFonts w:ascii="Palatino Linotype" w:hAnsi="Palatino Linotype"/>
          <w:sz w:val="24"/>
          <w:szCs w:val="24"/>
        </w:rPr>
        <w:t xml:space="preserve">, </w:t>
      </w:r>
      <w:r w:rsidR="00B7146C" w:rsidRPr="002C1217">
        <w:rPr>
          <w:rFonts w:ascii="Palatino Linotype" w:hAnsi="Palatino Linotype"/>
          <w:sz w:val="24"/>
          <w:szCs w:val="24"/>
        </w:rPr>
        <w:t xml:space="preserve">o que compete </w:t>
      </w:r>
      <w:r w:rsidR="00261B72" w:rsidRPr="002C1217">
        <w:rPr>
          <w:rFonts w:ascii="Palatino Linotype" w:hAnsi="Palatino Linotype"/>
          <w:sz w:val="24"/>
          <w:szCs w:val="24"/>
        </w:rPr>
        <w:t>ao Prefeito Municipal</w:t>
      </w:r>
      <w:r w:rsidR="00B7146C" w:rsidRPr="002C1217">
        <w:rPr>
          <w:rFonts w:ascii="Palatino Linotype" w:hAnsi="Palatino Linotype"/>
          <w:sz w:val="24"/>
          <w:szCs w:val="24"/>
        </w:rPr>
        <w:t>, nos ter</w:t>
      </w:r>
      <w:r w:rsidR="00FE0AF9" w:rsidRPr="002C1217">
        <w:rPr>
          <w:rFonts w:ascii="Palatino Linotype" w:hAnsi="Palatino Linotype"/>
          <w:sz w:val="24"/>
          <w:szCs w:val="24"/>
        </w:rPr>
        <w:t>mos da alínea “a” do inciso II do §1o do art. 61 da Constituição Federal, reprod</w:t>
      </w:r>
      <w:r w:rsidR="00FE0AF9" w:rsidRPr="002C1217">
        <w:rPr>
          <w:rFonts w:ascii="Palatino Linotype" w:hAnsi="Palatino Linotype"/>
          <w:sz w:val="24"/>
          <w:szCs w:val="24"/>
        </w:rPr>
        <w:t>u</w:t>
      </w:r>
      <w:r w:rsidR="00FE0AF9" w:rsidRPr="002C1217">
        <w:rPr>
          <w:rFonts w:ascii="Palatino Linotype" w:hAnsi="Palatino Linotype"/>
          <w:sz w:val="24"/>
          <w:szCs w:val="24"/>
        </w:rPr>
        <w:t>zido por simetria</w:t>
      </w:r>
      <w:r w:rsidR="00716C73" w:rsidRPr="002C1217">
        <w:rPr>
          <w:rFonts w:ascii="Palatino Linotype" w:hAnsi="Palatino Linotype"/>
          <w:sz w:val="24"/>
          <w:szCs w:val="24"/>
        </w:rPr>
        <w:t>, por ser norma de reprodução obrigatória,</w:t>
      </w:r>
      <w:r w:rsidR="00FE0AF9" w:rsidRPr="002C1217">
        <w:rPr>
          <w:rFonts w:ascii="Palatino Linotype" w:hAnsi="Palatino Linotype"/>
          <w:sz w:val="24"/>
          <w:szCs w:val="24"/>
        </w:rPr>
        <w:t xml:space="preserve"> pelo</w:t>
      </w:r>
      <w:r w:rsidR="00F7714F" w:rsidRPr="002C1217">
        <w:rPr>
          <w:rFonts w:ascii="Palatino Linotype" w:hAnsi="Palatino Linotype"/>
          <w:sz w:val="24"/>
          <w:szCs w:val="24"/>
        </w:rPr>
        <w:t xml:space="preserve"> artigo </w:t>
      </w:r>
      <w:r w:rsidR="004325CD" w:rsidRPr="002C1217">
        <w:rPr>
          <w:rFonts w:ascii="Palatino Linotype" w:hAnsi="Palatino Linotype"/>
          <w:sz w:val="24"/>
          <w:szCs w:val="24"/>
        </w:rPr>
        <w:t>119</w:t>
      </w:r>
      <w:r w:rsidR="00F7714F" w:rsidRPr="002C1217">
        <w:rPr>
          <w:rFonts w:ascii="Palatino Linotype" w:hAnsi="Palatino Linotype"/>
          <w:sz w:val="24"/>
          <w:szCs w:val="24"/>
        </w:rPr>
        <w:t>, inc. I, da Lei Orgânica Municipal</w:t>
      </w:r>
      <w:r w:rsidR="00D13B1C" w:rsidRPr="002C1217">
        <w:rPr>
          <w:rFonts w:ascii="Palatino Linotype" w:hAnsi="Palatino Linotype"/>
          <w:sz w:val="24"/>
          <w:szCs w:val="24"/>
        </w:rPr>
        <w:t>:</w:t>
      </w:r>
    </w:p>
    <w:p w:rsidR="00D13B1C" w:rsidRPr="002C1217" w:rsidRDefault="00D13B1C" w:rsidP="00CD1F1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D13B1C" w:rsidRPr="00192579" w:rsidRDefault="00D13B1C" w:rsidP="00102CC9">
      <w:pPr>
        <w:spacing w:after="0" w:line="240" w:lineRule="auto"/>
        <w:ind w:left="2268"/>
        <w:jc w:val="both"/>
        <w:rPr>
          <w:rFonts w:ascii="Palatino Linotype" w:hAnsi="Palatino Linotype"/>
          <w:b/>
          <w:szCs w:val="24"/>
          <w:u w:val="single"/>
        </w:rPr>
      </w:pPr>
      <w:r w:rsidRPr="00192579">
        <w:rPr>
          <w:rFonts w:ascii="Palatino Linotype" w:hAnsi="Palatino Linotype"/>
          <w:b/>
          <w:szCs w:val="24"/>
          <w:u w:val="single"/>
        </w:rPr>
        <w:t>Art. 119 É competência exclusiva do Prefeito a iniciativa dos proj</w:t>
      </w:r>
      <w:r w:rsidRPr="00192579">
        <w:rPr>
          <w:rFonts w:ascii="Palatino Linotype" w:hAnsi="Palatino Linotype"/>
          <w:b/>
          <w:szCs w:val="24"/>
          <w:u w:val="single"/>
        </w:rPr>
        <w:t>e</w:t>
      </w:r>
      <w:r w:rsidRPr="00192579">
        <w:rPr>
          <w:rFonts w:ascii="Palatino Linotype" w:hAnsi="Palatino Linotype"/>
          <w:b/>
          <w:szCs w:val="24"/>
          <w:u w:val="single"/>
        </w:rPr>
        <w:t xml:space="preserve">tos de lei que disponham sobre: </w:t>
      </w:r>
    </w:p>
    <w:p w:rsidR="00D13B1C" w:rsidRPr="00192579" w:rsidRDefault="00D13B1C" w:rsidP="00102CC9">
      <w:pPr>
        <w:spacing w:after="0" w:line="240" w:lineRule="auto"/>
        <w:ind w:left="2268"/>
        <w:jc w:val="both"/>
        <w:rPr>
          <w:rFonts w:ascii="Palatino Linotype" w:hAnsi="Palatino Linotype"/>
          <w:b/>
          <w:szCs w:val="24"/>
          <w:u w:val="single"/>
        </w:rPr>
      </w:pPr>
      <w:r w:rsidRPr="00192579">
        <w:rPr>
          <w:rFonts w:ascii="Palatino Linotype" w:hAnsi="Palatino Linotype"/>
          <w:b/>
          <w:szCs w:val="24"/>
          <w:u w:val="single"/>
        </w:rPr>
        <w:t>I - criação de cargos, funções ou empregos públicos na administr</w:t>
      </w:r>
      <w:r w:rsidRPr="00192579">
        <w:rPr>
          <w:rFonts w:ascii="Palatino Linotype" w:hAnsi="Palatino Linotype"/>
          <w:b/>
          <w:szCs w:val="24"/>
          <w:u w:val="single"/>
        </w:rPr>
        <w:t>a</w:t>
      </w:r>
      <w:r w:rsidRPr="00192579">
        <w:rPr>
          <w:rFonts w:ascii="Palatino Linotype" w:hAnsi="Palatino Linotype"/>
          <w:b/>
          <w:szCs w:val="24"/>
          <w:u w:val="single"/>
        </w:rPr>
        <w:t xml:space="preserve">ção </w:t>
      </w:r>
      <w:r w:rsidRPr="002E31B8">
        <w:rPr>
          <w:rFonts w:ascii="Palatino Linotype" w:hAnsi="Palatino Linotype"/>
          <w:szCs w:val="24"/>
        </w:rPr>
        <w:t>d</w:t>
      </w:r>
      <w:r w:rsidRPr="002E31B8">
        <w:rPr>
          <w:rFonts w:ascii="Palatino Linotype" w:hAnsi="Palatino Linotype"/>
          <w:szCs w:val="24"/>
        </w:rPr>
        <w:t>i</w:t>
      </w:r>
      <w:r w:rsidRPr="002E31B8">
        <w:rPr>
          <w:rFonts w:ascii="Palatino Linotype" w:hAnsi="Palatino Linotype"/>
          <w:szCs w:val="24"/>
        </w:rPr>
        <w:t>reta e</w:t>
      </w:r>
      <w:r w:rsidRPr="00192579">
        <w:rPr>
          <w:rFonts w:ascii="Palatino Linotype" w:hAnsi="Palatino Linotype"/>
          <w:b/>
          <w:szCs w:val="24"/>
          <w:u w:val="single"/>
        </w:rPr>
        <w:t xml:space="preserve"> autárquica ou aumento de sua remuneração; </w:t>
      </w:r>
    </w:p>
    <w:p w:rsidR="00D13B1C" w:rsidRPr="00192579" w:rsidRDefault="00D13B1C" w:rsidP="00102CC9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192579">
        <w:rPr>
          <w:rFonts w:ascii="Palatino Linotype" w:hAnsi="Palatino Linotype"/>
          <w:szCs w:val="24"/>
        </w:rPr>
        <w:t>II - organização administrativa, matéria orçamentária e serviços p</w:t>
      </w:r>
      <w:r w:rsidRPr="00192579">
        <w:rPr>
          <w:rFonts w:ascii="Palatino Linotype" w:hAnsi="Palatino Linotype"/>
          <w:szCs w:val="24"/>
        </w:rPr>
        <w:t>ú</w:t>
      </w:r>
      <w:r w:rsidRPr="00192579">
        <w:rPr>
          <w:rFonts w:ascii="Palatino Linotype" w:hAnsi="Palatino Linotype"/>
          <w:szCs w:val="24"/>
        </w:rPr>
        <w:t xml:space="preserve">blicos; </w:t>
      </w:r>
    </w:p>
    <w:p w:rsidR="00D13B1C" w:rsidRPr="00192579" w:rsidRDefault="00D13B1C" w:rsidP="00102CC9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192579">
        <w:rPr>
          <w:rFonts w:ascii="Palatino Linotype" w:hAnsi="Palatino Linotype"/>
          <w:szCs w:val="24"/>
        </w:rPr>
        <w:t>III - servidores públicos, seu regime jurídico, provimento de cargos, estab</w:t>
      </w:r>
      <w:r w:rsidRPr="00192579">
        <w:rPr>
          <w:rFonts w:ascii="Palatino Linotype" w:hAnsi="Palatino Linotype"/>
          <w:szCs w:val="24"/>
        </w:rPr>
        <w:t>i</w:t>
      </w:r>
      <w:r w:rsidRPr="00192579">
        <w:rPr>
          <w:rFonts w:ascii="Palatino Linotype" w:hAnsi="Palatino Linotype"/>
          <w:szCs w:val="24"/>
        </w:rPr>
        <w:t xml:space="preserve">lidade e aposentadoria; </w:t>
      </w:r>
    </w:p>
    <w:p w:rsidR="00D13B1C" w:rsidRPr="00192579" w:rsidRDefault="00D13B1C" w:rsidP="00102CC9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192579">
        <w:rPr>
          <w:rFonts w:ascii="Palatino Linotype" w:hAnsi="Palatino Linotype"/>
          <w:szCs w:val="24"/>
        </w:rPr>
        <w:t>IV - criação e extinção de Secretarias e órgãos da administração públ</w:t>
      </w:r>
      <w:r w:rsidRPr="00192579">
        <w:rPr>
          <w:rFonts w:ascii="Palatino Linotype" w:hAnsi="Palatino Linotype"/>
          <w:szCs w:val="24"/>
        </w:rPr>
        <w:t>i</w:t>
      </w:r>
      <w:r w:rsidRPr="00192579">
        <w:rPr>
          <w:rFonts w:ascii="Palatino Linotype" w:hAnsi="Palatino Linotype"/>
          <w:szCs w:val="24"/>
        </w:rPr>
        <w:t>ca. (Redação dada pela Emenda à Lei Orgânica nº 2/2017)</w:t>
      </w:r>
    </w:p>
    <w:p w:rsidR="00E67291" w:rsidRPr="002C1217" w:rsidRDefault="00E67291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F214D" w:rsidRPr="005F214D" w:rsidRDefault="005F214D" w:rsidP="005F214D">
      <w:pPr>
        <w:pStyle w:val="PargrafodaLista"/>
        <w:numPr>
          <w:ilvl w:val="1"/>
          <w:numId w:val="2"/>
        </w:num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F214D">
        <w:rPr>
          <w:rFonts w:ascii="Palatino Linotype" w:hAnsi="Palatino Linotype"/>
          <w:b/>
          <w:bCs/>
          <w:sz w:val="24"/>
          <w:szCs w:val="24"/>
        </w:rPr>
        <w:t>Do conteúdo do projeto de lei</w:t>
      </w:r>
    </w:p>
    <w:p w:rsidR="005F214D" w:rsidRDefault="005F214D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1A611B" w:rsidRPr="002C1217" w:rsidRDefault="0038735C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2C1217">
        <w:rPr>
          <w:rFonts w:ascii="Palatino Linotype" w:hAnsi="Palatino Linotype"/>
          <w:sz w:val="24"/>
          <w:szCs w:val="24"/>
        </w:rPr>
        <w:t>A respeito do</w:t>
      </w:r>
      <w:r w:rsidR="001A611B" w:rsidRPr="002C1217">
        <w:rPr>
          <w:rFonts w:ascii="Palatino Linotype" w:hAnsi="Palatino Linotype"/>
          <w:sz w:val="24"/>
          <w:szCs w:val="24"/>
        </w:rPr>
        <w:t xml:space="preserve"> aspecto material da propos</w:t>
      </w:r>
      <w:r w:rsidRPr="002C1217">
        <w:rPr>
          <w:rFonts w:ascii="Palatino Linotype" w:hAnsi="Palatino Linotype"/>
          <w:sz w:val="24"/>
          <w:szCs w:val="24"/>
        </w:rPr>
        <w:t>ição</w:t>
      </w:r>
      <w:r w:rsidR="001A611B" w:rsidRPr="002C1217">
        <w:rPr>
          <w:rFonts w:ascii="Palatino Linotype" w:hAnsi="Palatino Linotype"/>
          <w:sz w:val="24"/>
          <w:szCs w:val="24"/>
        </w:rPr>
        <w:t>, busca-se a</w:t>
      </w:r>
      <w:r w:rsidR="008304E5" w:rsidRPr="002C1217">
        <w:rPr>
          <w:rFonts w:ascii="Palatino Linotype" w:hAnsi="Palatino Linotype"/>
          <w:sz w:val="24"/>
          <w:szCs w:val="24"/>
        </w:rPr>
        <w:t xml:space="preserve"> </w:t>
      </w:r>
      <w:r w:rsidR="002E31B8">
        <w:rPr>
          <w:rFonts w:ascii="Palatino Linotype" w:hAnsi="Palatino Linotype"/>
          <w:sz w:val="24"/>
          <w:szCs w:val="24"/>
        </w:rPr>
        <w:t>alteração da l</w:t>
      </w:r>
      <w:r w:rsidR="002E31B8">
        <w:rPr>
          <w:rFonts w:ascii="Palatino Linotype" w:hAnsi="Palatino Linotype"/>
          <w:sz w:val="24"/>
          <w:szCs w:val="24"/>
        </w:rPr>
        <w:t>e</w:t>
      </w:r>
      <w:r w:rsidR="002E31B8">
        <w:rPr>
          <w:rFonts w:ascii="Palatino Linotype" w:hAnsi="Palatino Linotype"/>
          <w:sz w:val="24"/>
          <w:szCs w:val="24"/>
        </w:rPr>
        <w:t>gislação</w:t>
      </w:r>
      <w:r w:rsidR="001F6381" w:rsidRPr="002C1217">
        <w:rPr>
          <w:rFonts w:ascii="Palatino Linotype" w:hAnsi="Palatino Linotype"/>
          <w:sz w:val="24"/>
          <w:szCs w:val="24"/>
        </w:rPr>
        <w:t xml:space="preserve"> </w:t>
      </w:r>
      <w:r w:rsidR="00502F71" w:rsidRPr="002C1217">
        <w:rPr>
          <w:rFonts w:ascii="Palatino Linotype" w:hAnsi="Palatino Linotype"/>
          <w:sz w:val="24"/>
          <w:szCs w:val="24"/>
        </w:rPr>
        <w:t>no âmbito d</w:t>
      </w:r>
      <w:r w:rsidR="002E31B8">
        <w:rPr>
          <w:rFonts w:ascii="Palatino Linotype" w:hAnsi="Palatino Linotype"/>
          <w:sz w:val="24"/>
          <w:szCs w:val="24"/>
        </w:rPr>
        <w:t xml:space="preserve">a Administração </w:t>
      </w:r>
      <w:r w:rsidR="00354436">
        <w:rPr>
          <w:rFonts w:ascii="Palatino Linotype" w:hAnsi="Palatino Linotype"/>
          <w:sz w:val="24"/>
          <w:szCs w:val="24"/>
        </w:rPr>
        <w:t>D</w:t>
      </w:r>
      <w:r w:rsidR="002E31B8">
        <w:rPr>
          <w:rFonts w:ascii="Palatino Linotype" w:hAnsi="Palatino Linotype"/>
          <w:sz w:val="24"/>
          <w:szCs w:val="24"/>
        </w:rPr>
        <w:t>ireta</w:t>
      </w:r>
      <w:r w:rsidR="00502F71" w:rsidRPr="002C1217">
        <w:rPr>
          <w:rFonts w:ascii="Palatino Linotype" w:hAnsi="Palatino Linotype"/>
          <w:sz w:val="24"/>
          <w:szCs w:val="24"/>
        </w:rPr>
        <w:t xml:space="preserve"> do Município de Guaíba</w:t>
      </w:r>
      <w:r w:rsidR="00023500" w:rsidRPr="002C1217">
        <w:rPr>
          <w:rFonts w:ascii="Palatino Linotype" w:hAnsi="Palatino Linotype"/>
          <w:sz w:val="24"/>
          <w:szCs w:val="24"/>
        </w:rPr>
        <w:t>.</w:t>
      </w:r>
    </w:p>
    <w:p w:rsidR="00192579" w:rsidRDefault="00192579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2D3AE9" w:rsidRDefault="00723032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2C1217">
        <w:rPr>
          <w:rFonts w:ascii="Palatino Linotype" w:hAnsi="Palatino Linotype"/>
          <w:sz w:val="24"/>
          <w:szCs w:val="24"/>
        </w:rPr>
        <w:t>A</w:t>
      </w:r>
      <w:r w:rsidR="00192579">
        <w:rPr>
          <w:rFonts w:ascii="Palatino Linotype" w:hAnsi="Palatino Linotype"/>
          <w:sz w:val="24"/>
          <w:szCs w:val="24"/>
        </w:rPr>
        <w:t>s</w:t>
      </w:r>
      <w:r w:rsidRPr="002C1217">
        <w:rPr>
          <w:rFonts w:ascii="Palatino Linotype" w:hAnsi="Palatino Linotype"/>
          <w:sz w:val="24"/>
          <w:szCs w:val="24"/>
        </w:rPr>
        <w:t xml:space="preserve"> </w:t>
      </w:r>
      <w:r w:rsidR="00100B2B">
        <w:rPr>
          <w:rFonts w:ascii="Palatino Linotype" w:hAnsi="Palatino Linotype"/>
          <w:sz w:val="24"/>
          <w:szCs w:val="24"/>
        </w:rPr>
        <w:t>principais alterações</w:t>
      </w:r>
      <w:r w:rsidRPr="002C1217">
        <w:rPr>
          <w:rFonts w:ascii="Palatino Linotype" w:hAnsi="Palatino Linotype"/>
          <w:sz w:val="24"/>
          <w:szCs w:val="24"/>
        </w:rPr>
        <w:t xml:space="preserve"> identificada</w:t>
      </w:r>
      <w:r w:rsidR="00192579">
        <w:rPr>
          <w:rFonts w:ascii="Palatino Linotype" w:hAnsi="Palatino Linotype"/>
          <w:sz w:val="24"/>
          <w:szCs w:val="24"/>
        </w:rPr>
        <w:t>s</w:t>
      </w:r>
      <w:r w:rsidRPr="002C1217">
        <w:rPr>
          <w:rFonts w:ascii="Palatino Linotype" w:hAnsi="Palatino Linotype"/>
          <w:sz w:val="24"/>
          <w:szCs w:val="24"/>
        </w:rPr>
        <w:t xml:space="preserve"> em relação </w:t>
      </w:r>
      <w:r w:rsidR="00192579">
        <w:rPr>
          <w:rFonts w:ascii="Palatino Linotype" w:hAnsi="Palatino Linotype"/>
          <w:sz w:val="24"/>
          <w:szCs w:val="24"/>
        </w:rPr>
        <w:t>à</w:t>
      </w:r>
      <w:r w:rsidR="00354436">
        <w:rPr>
          <w:rFonts w:ascii="Palatino Linotype" w:hAnsi="Palatino Linotype"/>
          <w:sz w:val="24"/>
          <w:szCs w:val="24"/>
        </w:rPr>
        <w:t>s</w:t>
      </w:r>
      <w:r w:rsidR="00192579">
        <w:rPr>
          <w:rFonts w:ascii="Palatino Linotype" w:hAnsi="Palatino Linotype"/>
          <w:sz w:val="24"/>
          <w:szCs w:val="24"/>
        </w:rPr>
        <w:t xml:space="preserve"> vigente Lei</w:t>
      </w:r>
      <w:r w:rsidR="00354436">
        <w:rPr>
          <w:rFonts w:ascii="Palatino Linotype" w:hAnsi="Palatino Linotype"/>
          <w:sz w:val="24"/>
          <w:szCs w:val="24"/>
        </w:rPr>
        <w:t>s</w:t>
      </w:r>
      <w:r w:rsidR="00192579">
        <w:rPr>
          <w:rFonts w:ascii="Palatino Linotype" w:hAnsi="Palatino Linotype"/>
          <w:sz w:val="24"/>
          <w:szCs w:val="24"/>
        </w:rPr>
        <w:t xml:space="preserve"> Munic</w:t>
      </w:r>
      <w:r w:rsidR="00192579">
        <w:rPr>
          <w:rFonts w:ascii="Palatino Linotype" w:hAnsi="Palatino Linotype"/>
          <w:sz w:val="24"/>
          <w:szCs w:val="24"/>
        </w:rPr>
        <w:t>i</w:t>
      </w:r>
      <w:r w:rsidR="00192579">
        <w:rPr>
          <w:rFonts w:ascii="Palatino Linotype" w:hAnsi="Palatino Linotype"/>
          <w:sz w:val="24"/>
          <w:szCs w:val="24"/>
        </w:rPr>
        <w:t>pa</w:t>
      </w:r>
      <w:r w:rsidR="00354436">
        <w:rPr>
          <w:rFonts w:ascii="Palatino Linotype" w:hAnsi="Palatino Linotype"/>
          <w:sz w:val="24"/>
          <w:szCs w:val="24"/>
        </w:rPr>
        <w:t>is</w:t>
      </w:r>
      <w:r w:rsidR="00192579">
        <w:rPr>
          <w:rFonts w:ascii="Palatino Linotype" w:hAnsi="Palatino Linotype"/>
          <w:sz w:val="24"/>
          <w:szCs w:val="24"/>
        </w:rPr>
        <w:t xml:space="preserve"> nº </w:t>
      </w:r>
      <w:r w:rsidR="005E559E">
        <w:rPr>
          <w:rFonts w:ascii="Palatino Linotype" w:hAnsi="Palatino Linotype"/>
          <w:sz w:val="24"/>
          <w:szCs w:val="24"/>
        </w:rPr>
        <w:t>1.</w:t>
      </w:r>
      <w:r w:rsidR="00354436">
        <w:rPr>
          <w:rFonts w:ascii="Palatino Linotype" w:hAnsi="Palatino Linotype"/>
          <w:sz w:val="24"/>
          <w:szCs w:val="24"/>
        </w:rPr>
        <w:t>116</w:t>
      </w:r>
      <w:r w:rsidR="00192579">
        <w:rPr>
          <w:rFonts w:ascii="Palatino Linotype" w:hAnsi="Palatino Linotype"/>
          <w:sz w:val="24"/>
          <w:szCs w:val="24"/>
        </w:rPr>
        <w:t>/</w:t>
      </w:r>
      <w:r w:rsidR="00354436">
        <w:rPr>
          <w:rFonts w:ascii="Palatino Linotype" w:hAnsi="Palatino Linotype"/>
          <w:sz w:val="24"/>
          <w:szCs w:val="24"/>
        </w:rPr>
        <w:t>1993 e 2.586/2010</w:t>
      </w:r>
      <w:r w:rsidR="00192579">
        <w:rPr>
          <w:rFonts w:ascii="Palatino Linotype" w:hAnsi="Palatino Linotype"/>
          <w:sz w:val="24"/>
          <w:szCs w:val="24"/>
        </w:rPr>
        <w:t xml:space="preserve"> são </w:t>
      </w:r>
      <w:r w:rsidR="00354436">
        <w:rPr>
          <w:rFonts w:ascii="Palatino Linotype" w:hAnsi="Palatino Linotype"/>
          <w:sz w:val="24"/>
          <w:szCs w:val="24"/>
        </w:rPr>
        <w:t xml:space="preserve">no sentido de implementar </w:t>
      </w:r>
      <w:r w:rsidR="002D3AE9">
        <w:rPr>
          <w:rFonts w:ascii="Palatino Linotype" w:hAnsi="Palatino Linotype"/>
          <w:sz w:val="24"/>
          <w:szCs w:val="24"/>
        </w:rPr>
        <w:t>alteração da sistemát</w:t>
      </w:r>
      <w:r w:rsidR="002D3AE9">
        <w:rPr>
          <w:rFonts w:ascii="Palatino Linotype" w:hAnsi="Palatino Linotype"/>
          <w:sz w:val="24"/>
          <w:szCs w:val="24"/>
        </w:rPr>
        <w:t>i</w:t>
      </w:r>
      <w:r w:rsidR="002D3AE9">
        <w:rPr>
          <w:rFonts w:ascii="Palatino Linotype" w:hAnsi="Palatino Linotype"/>
          <w:sz w:val="24"/>
          <w:szCs w:val="24"/>
        </w:rPr>
        <w:t>ca de pag</w:t>
      </w:r>
      <w:r w:rsidR="002D3AE9">
        <w:rPr>
          <w:rFonts w:ascii="Palatino Linotype" w:hAnsi="Palatino Linotype"/>
          <w:sz w:val="24"/>
          <w:szCs w:val="24"/>
        </w:rPr>
        <w:t>a</w:t>
      </w:r>
      <w:r w:rsidR="002D3AE9">
        <w:rPr>
          <w:rFonts w:ascii="Palatino Linotype" w:hAnsi="Palatino Linotype"/>
          <w:sz w:val="24"/>
          <w:szCs w:val="24"/>
        </w:rPr>
        <w:t>mento das funções gratificadas</w:t>
      </w:r>
      <w:r w:rsidR="00AA75E2">
        <w:rPr>
          <w:rFonts w:ascii="Palatino Linotype" w:hAnsi="Palatino Linotype"/>
          <w:sz w:val="24"/>
          <w:szCs w:val="24"/>
        </w:rPr>
        <w:t>, retirando previsões que conflitavam com a vedação do “efeito casc</w:t>
      </w:r>
      <w:r w:rsidR="00AA75E2">
        <w:rPr>
          <w:rFonts w:ascii="Palatino Linotype" w:hAnsi="Palatino Linotype"/>
          <w:sz w:val="24"/>
          <w:szCs w:val="24"/>
        </w:rPr>
        <w:t>a</w:t>
      </w:r>
      <w:r w:rsidR="00AA75E2">
        <w:rPr>
          <w:rFonts w:ascii="Palatino Linotype" w:hAnsi="Palatino Linotype"/>
          <w:sz w:val="24"/>
          <w:szCs w:val="24"/>
        </w:rPr>
        <w:t>ta”</w:t>
      </w:r>
      <w:r w:rsidR="00F04B2E">
        <w:rPr>
          <w:rFonts w:ascii="Palatino Linotype" w:hAnsi="Palatino Linotype"/>
          <w:sz w:val="24"/>
          <w:szCs w:val="24"/>
        </w:rPr>
        <w:t>;</w:t>
      </w:r>
    </w:p>
    <w:p w:rsidR="001F5601" w:rsidRDefault="001F5601" w:rsidP="001F5601">
      <w:pPr>
        <w:pStyle w:val="Corpodetexto"/>
        <w:rPr>
          <w:sz w:val="20"/>
        </w:rPr>
      </w:pPr>
    </w:p>
    <w:p w:rsidR="00041C0B" w:rsidRDefault="000F07C9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2C1217">
        <w:rPr>
          <w:rFonts w:ascii="Palatino Linotype" w:hAnsi="Palatino Linotype"/>
          <w:sz w:val="24"/>
          <w:szCs w:val="24"/>
        </w:rPr>
        <w:t>Desse modo</w:t>
      </w:r>
      <w:r w:rsidR="00DB1708" w:rsidRPr="002C1217">
        <w:rPr>
          <w:rFonts w:ascii="Palatino Linotype" w:hAnsi="Palatino Linotype"/>
          <w:sz w:val="24"/>
          <w:szCs w:val="24"/>
        </w:rPr>
        <w:t>,</w:t>
      </w:r>
      <w:r w:rsidRPr="002C1217">
        <w:rPr>
          <w:rFonts w:ascii="Palatino Linotype" w:hAnsi="Palatino Linotype"/>
          <w:sz w:val="24"/>
          <w:szCs w:val="24"/>
        </w:rPr>
        <w:t xml:space="preserve"> a organização do quadro de</w:t>
      </w:r>
      <w:r w:rsidR="00DB1708" w:rsidRPr="002C1217">
        <w:rPr>
          <w:rFonts w:ascii="Palatino Linotype" w:hAnsi="Palatino Linotype"/>
          <w:sz w:val="24"/>
          <w:szCs w:val="24"/>
        </w:rPr>
        <w:t xml:space="preserve"> cargos </w:t>
      </w:r>
      <w:r w:rsidRPr="002C1217">
        <w:rPr>
          <w:rFonts w:ascii="Palatino Linotype" w:hAnsi="Palatino Linotype"/>
          <w:sz w:val="24"/>
          <w:szCs w:val="24"/>
        </w:rPr>
        <w:t xml:space="preserve">públicos </w:t>
      </w:r>
      <w:r w:rsidR="00A83742">
        <w:rPr>
          <w:rFonts w:ascii="Palatino Linotype" w:hAnsi="Palatino Linotype"/>
          <w:sz w:val="24"/>
          <w:szCs w:val="24"/>
        </w:rPr>
        <w:t>da administr</w:t>
      </w:r>
      <w:r w:rsidR="00A83742">
        <w:rPr>
          <w:rFonts w:ascii="Palatino Linotype" w:hAnsi="Palatino Linotype"/>
          <w:sz w:val="24"/>
          <w:szCs w:val="24"/>
        </w:rPr>
        <w:t>a</w:t>
      </w:r>
      <w:r w:rsidR="00A83742">
        <w:rPr>
          <w:rFonts w:ascii="Palatino Linotype" w:hAnsi="Palatino Linotype"/>
          <w:sz w:val="24"/>
          <w:szCs w:val="24"/>
        </w:rPr>
        <w:t xml:space="preserve">ção autárquica </w:t>
      </w:r>
      <w:r w:rsidR="00DB1708" w:rsidRPr="002C1217">
        <w:rPr>
          <w:rFonts w:ascii="Palatino Linotype" w:hAnsi="Palatino Linotype"/>
          <w:sz w:val="24"/>
          <w:szCs w:val="24"/>
        </w:rPr>
        <w:t xml:space="preserve">é </w:t>
      </w:r>
      <w:r w:rsidRPr="002C1217">
        <w:rPr>
          <w:rFonts w:ascii="Palatino Linotype" w:hAnsi="Palatino Linotype"/>
          <w:sz w:val="24"/>
          <w:szCs w:val="24"/>
        </w:rPr>
        <w:t>matéria de conveniência e oportunidade d</w:t>
      </w:r>
      <w:r w:rsidR="005928AD" w:rsidRPr="002C1217">
        <w:rPr>
          <w:rFonts w:ascii="Palatino Linotype" w:hAnsi="Palatino Linotype"/>
          <w:sz w:val="24"/>
          <w:szCs w:val="24"/>
        </w:rPr>
        <w:t>o</w:t>
      </w:r>
      <w:r w:rsidRPr="002C1217">
        <w:rPr>
          <w:rFonts w:ascii="Palatino Linotype" w:hAnsi="Palatino Linotype"/>
          <w:sz w:val="24"/>
          <w:szCs w:val="24"/>
        </w:rPr>
        <w:t xml:space="preserve"> </w:t>
      </w:r>
      <w:r w:rsidR="005928AD" w:rsidRPr="002C1217">
        <w:rPr>
          <w:rFonts w:ascii="Palatino Linotype" w:hAnsi="Palatino Linotype"/>
          <w:sz w:val="24"/>
          <w:szCs w:val="24"/>
        </w:rPr>
        <w:t>Poder Executivo Mun</w:t>
      </w:r>
      <w:r w:rsidR="005928AD" w:rsidRPr="002C1217">
        <w:rPr>
          <w:rFonts w:ascii="Palatino Linotype" w:hAnsi="Palatino Linotype"/>
          <w:sz w:val="24"/>
          <w:szCs w:val="24"/>
        </w:rPr>
        <w:t>i</w:t>
      </w:r>
      <w:r w:rsidR="005928AD" w:rsidRPr="002C1217">
        <w:rPr>
          <w:rFonts w:ascii="Palatino Linotype" w:hAnsi="Palatino Linotype"/>
          <w:sz w:val="24"/>
          <w:szCs w:val="24"/>
        </w:rPr>
        <w:t>cipal</w:t>
      </w:r>
      <w:r w:rsidRPr="002C1217">
        <w:rPr>
          <w:rFonts w:ascii="Palatino Linotype" w:hAnsi="Palatino Linotype"/>
          <w:sz w:val="24"/>
          <w:szCs w:val="24"/>
        </w:rPr>
        <w:t xml:space="preserve">, </w:t>
      </w:r>
      <w:r w:rsidR="00154555" w:rsidRPr="002C1217">
        <w:rPr>
          <w:rFonts w:ascii="Palatino Linotype" w:hAnsi="Palatino Linotype"/>
          <w:sz w:val="24"/>
          <w:szCs w:val="24"/>
        </w:rPr>
        <w:t xml:space="preserve">nos termos do art. </w:t>
      </w:r>
      <w:r w:rsidR="005928AD" w:rsidRPr="002C1217">
        <w:rPr>
          <w:rFonts w:ascii="Palatino Linotype" w:hAnsi="Palatino Linotype"/>
          <w:sz w:val="24"/>
          <w:szCs w:val="24"/>
        </w:rPr>
        <w:t>52</w:t>
      </w:r>
      <w:r w:rsidR="00154555" w:rsidRPr="002C1217">
        <w:rPr>
          <w:rFonts w:ascii="Palatino Linotype" w:hAnsi="Palatino Linotype"/>
          <w:sz w:val="24"/>
          <w:szCs w:val="24"/>
        </w:rPr>
        <w:t>, inc. XI,</w:t>
      </w:r>
      <w:r w:rsidR="005928AD" w:rsidRPr="002C1217">
        <w:rPr>
          <w:rFonts w:ascii="Palatino Linotype" w:hAnsi="Palatino Linotype"/>
          <w:sz w:val="24"/>
          <w:szCs w:val="24"/>
        </w:rPr>
        <w:t xml:space="preserve"> e 119, inciso I,</w:t>
      </w:r>
      <w:r w:rsidR="00154555" w:rsidRPr="002C1217">
        <w:rPr>
          <w:rFonts w:ascii="Palatino Linotype" w:hAnsi="Palatino Linotype"/>
          <w:sz w:val="24"/>
          <w:szCs w:val="24"/>
        </w:rPr>
        <w:t xml:space="preserve"> da Lei Orgânica Municipal</w:t>
      </w:r>
      <w:r w:rsidR="00041C0B">
        <w:rPr>
          <w:rFonts w:ascii="Palatino Linotype" w:hAnsi="Palatino Linotype"/>
          <w:sz w:val="24"/>
          <w:szCs w:val="24"/>
        </w:rPr>
        <w:t>.</w:t>
      </w:r>
    </w:p>
    <w:p w:rsidR="00E51551" w:rsidRDefault="00E51551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E51551" w:rsidRDefault="00E51551" w:rsidP="00152F2B">
      <w:pPr>
        <w:spacing w:after="0" w:line="360" w:lineRule="auto"/>
        <w:ind w:firstLine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Contata-se da justificativa que a alteração se dá em razão de </w:t>
      </w:r>
      <w:r w:rsidRPr="00E51551">
        <w:rPr>
          <w:rFonts w:ascii="Palatino Linotype" w:hAnsi="Palatino Linotype"/>
          <w:sz w:val="24"/>
          <w:szCs w:val="24"/>
        </w:rPr>
        <w:t>apontamentos do Tribunal de Contas do Estado – TCE/RS</w:t>
      </w:r>
      <w:r w:rsidR="00185B8E">
        <w:rPr>
          <w:rFonts w:ascii="Palatino Linotype" w:hAnsi="Palatino Linotype"/>
          <w:sz w:val="24"/>
          <w:szCs w:val="24"/>
        </w:rPr>
        <w:t xml:space="preserve"> (</w:t>
      </w:r>
      <w:r w:rsidR="00185B8E" w:rsidRPr="00185B8E">
        <w:rPr>
          <w:rFonts w:ascii="Palatino Linotype" w:hAnsi="Palatino Linotype"/>
          <w:sz w:val="24"/>
          <w:szCs w:val="24"/>
        </w:rPr>
        <w:t>Processo de Contas no 002241-02.00/15-9 e no 016393-02.00/20-3</w:t>
      </w:r>
      <w:r w:rsidR="00185B8E">
        <w:rPr>
          <w:rFonts w:ascii="Palatino Linotype" w:hAnsi="Palatino Linotype"/>
          <w:sz w:val="24"/>
          <w:szCs w:val="24"/>
        </w:rPr>
        <w:t>)</w:t>
      </w:r>
      <w:r w:rsidRPr="00E51551">
        <w:rPr>
          <w:rFonts w:ascii="Palatino Linotype" w:hAnsi="Palatino Linotype"/>
          <w:sz w:val="24"/>
          <w:szCs w:val="24"/>
        </w:rPr>
        <w:t>, que decidiu que os pagamentos di</w:t>
      </w:r>
      <w:r w:rsidRPr="00E51551">
        <w:rPr>
          <w:rFonts w:ascii="Palatino Linotype" w:hAnsi="Palatino Linotype"/>
          <w:sz w:val="24"/>
          <w:szCs w:val="24"/>
        </w:rPr>
        <w:t>s</w:t>
      </w:r>
      <w:r w:rsidRPr="00E51551">
        <w:rPr>
          <w:rFonts w:ascii="Palatino Linotype" w:hAnsi="Palatino Linotype"/>
          <w:sz w:val="24"/>
          <w:szCs w:val="24"/>
        </w:rPr>
        <w:t>postos desta forma não devem mais ocorrer, negando executoriedade ao § 2</w:t>
      </w:r>
      <w:r w:rsidR="00B17BDC">
        <w:rPr>
          <w:rFonts w:ascii="Palatino Linotype" w:hAnsi="Palatino Linotype"/>
          <w:sz w:val="24"/>
          <w:szCs w:val="24"/>
        </w:rPr>
        <w:t>º</w:t>
      </w:r>
      <w:r w:rsidRPr="00E51551">
        <w:rPr>
          <w:rFonts w:ascii="Palatino Linotype" w:hAnsi="Palatino Linotype"/>
          <w:sz w:val="24"/>
          <w:szCs w:val="24"/>
        </w:rPr>
        <w:t xml:space="preserve"> do art. 127 da Lei Municipal no 2.586/2010, por considerar que configura o pagamento de vant</w:t>
      </w:r>
      <w:r w:rsidRPr="00E51551">
        <w:rPr>
          <w:rFonts w:ascii="Palatino Linotype" w:hAnsi="Palatino Linotype"/>
          <w:sz w:val="24"/>
          <w:szCs w:val="24"/>
        </w:rPr>
        <w:t>a</w:t>
      </w:r>
      <w:r w:rsidRPr="00E51551">
        <w:rPr>
          <w:rFonts w:ascii="Palatino Linotype" w:hAnsi="Palatino Linotype"/>
          <w:sz w:val="24"/>
          <w:szCs w:val="24"/>
        </w:rPr>
        <w:t>gem sobre vantagem, modalidade que é vedada constitucionalmente</w:t>
      </w:r>
      <w:r w:rsidR="00B17BDC">
        <w:rPr>
          <w:rFonts w:ascii="Palatino Linotype" w:hAnsi="Palatino Linotype"/>
          <w:sz w:val="24"/>
          <w:szCs w:val="24"/>
        </w:rPr>
        <w:t>.</w:t>
      </w:r>
      <w:r w:rsidR="001A68B2">
        <w:rPr>
          <w:rFonts w:ascii="Palatino Linotype" w:hAnsi="Palatino Linotype"/>
          <w:sz w:val="24"/>
          <w:szCs w:val="24"/>
        </w:rPr>
        <w:t xml:space="preserve"> </w:t>
      </w:r>
    </w:p>
    <w:p w:rsidR="002D3AE9" w:rsidRDefault="00CC3266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</w:t>
      </w:r>
    </w:p>
    <w:p w:rsidR="002D3AE9" w:rsidRPr="006717F1" w:rsidRDefault="002D3AE9" w:rsidP="003E2A52">
      <w:pPr>
        <w:spacing w:after="0" w:line="360" w:lineRule="auto"/>
        <w:ind w:firstLine="1134"/>
        <w:jc w:val="both"/>
        <w:rPr>
          <w:rFonts w:ascii="Palatino Linotype" w:hAnsi="Palatino Linotype"/>
          <w:b/>
          <w:sz w:val="24"/>
          <w:szCs w:val="24"/>
        </w:rPr>
      </w:pPr>
      <w:r w:rsidRPr="006717F1">
        <w:rPr>
          <w:rFonts w:ascii="Palatino Linotype" w:hAnsi="Palatino Linotype"/>
          <w:b/>
          <w:sz w:val="24"/>
          <w:szCs w:val="24"/>
        </w:rPr>
        <w:t xml:space="preserve">Quanto à alteração na sistemática de pagamentos das </w:t>
      </w:r>
      <w:r w:rsidR="00041C0B">
        <w:rPr>
          <w:rFonts w:ascii="Palatino Linotype" w:hAnsi="Palatino Linotype"/>
          <w:b/>
          <w:sz w:val="24"/>
          <w:szCs w:val="24"/>
        </w:rPr>
        <w:t>funções gratific</w:t>
      </w:r>
      <w:r w:rsidR="00041C0B">
        <w:rPr>
          <w:rFonts w:ascii="Palatino Linotype" w:hAnsi="Palatino Linotype"/>
          <w:b/>
          <w:sz w:val="24"/>
          <w:szCs w:val="24"/>
        </w:rPr>
        <w:t>a</w:t>
      </w:r>
      <w:r w:rsidR="00041C0B">
        <w:rPr>
          <w:rFonts w:ascii="Palatino Linotype" w:hAnsi="Palatino Linotype"/>
          <w:b/>
          <w:sz w:val="24"/>
          <w:szCs w:val="24"/>
        </w:rPr>
        <w:t>das previstas no Art. 1º</w:t>
      </w:r>
      <w:r w:rsidRPr="006717F1">
        <w:rPr>
          <w:rFonts w:ascii="Palatino Linotype" w:hAnsi="Palatino Linotype"/>
          <w:b/>
          <w:sz w:val="24"/>
          <w:szCs w:val="24"/>
        </w:rPr>
        <w:t xml:space="preserve">, </w:t>
      </w:r>
      <w:r w:rsidR="00BD62C7">
        <w:rPr>
          <w:rFonts w:ascii="Palatino Linotype" w:hAnsi="Palatino Linotype"/>
          <w:b/>
          <w:sz w:val="24"/>
          <w:szCs w:val="24"/>
        </w:rPr>
        <w:t xml:space="preserve">esta </w:t>
      </w:r>
      <w:r w:rsidRPr="006717F1">
        <w:rPr>
          <w:rFonts w:ascii="Palatino Linotype" w:hAnsi="Palatino Linotype"/>
          <w:b/>
          <w:sz w:val="24"/>
          <w:szCs w:val="24"/>
        </w:rPr>
        <w:t xml:space="preserve">vai ao encontro da orientação do Tribunal de Contas do Rio Grande do Sul no Ofício Circular nº 025/2019, </w:t>
      </w:r>
      <w:r w:rsidR="005952D8">
        <w:rPr>
          <w:rFonts w:ascii="Palatino Linotype" w:hAnsi="Palatino Linotype"/>
          <w:b/>
          <w:sz w:val="24"/>
          <w:szCs w:val="24"/>
        </w:rPr>
        <w:t>encaminh</w:t>
      </w:r>
      <w:r w:rsidRPr="006717F1">
        <w:rPr>
          <w:rFonts w:ascii="Palatino Linotype" w:hAnsi="Palatino Linotype"/>
          <w:b/>
          <w:sz w:val="24"/>
          <w:szCs w:val="24"/>
        </w:rPr>
        <w:t>ado a todos os j</w:t>
      </w:r>
      <w:r w:rsidRPr="006717F1">
        <w:rPr>
          <w:rFonts w:ascii="Palatino Linotype" w:hAnsi="Palatino Linotype"/>
          <w:b/>
          <w:sz w:val="24"/>
          <w:szCs w:val="24"/>
        </w:rPr>
        <w:t>u</w:t>
      </w:r>
      <w:r w:rsidRPr="006717F1">
        <w:rPr>
          <w:rFonts w:ascii="Palatino Linotype" w:hAnsi="Palatino Linotype"/>
          <w:b/>
          <w:sz w:val="24"/>
          <w:szCs w:val="24"/>
        </w:rPr>
        <w:t>risdicionados em 24/06/2019, oriundo do julgamento pelo Pleno do TCERS do Pr</w:t>
      </w:r>
      <w:r w:rsidRPr="006717F1">
        <w:rPr>
          <w:rFonts w:ascii="Palatino Linotype" w:hAnsi="Palatino Linotype"/>
          <w:b/>
          <w:sz w:val="24"/>
          <w:szCs w:val="24"/>
        </w:rPr>
        <w:t>o</w:t>
      </w:r>
      <w:r w:rsidRPr="006717F1">
        <w:rPr>
          <w:rFonts w:ascii="Palatino Linotype" w:hAnsi="Palatino Linotype"/>
          <w:b/>
          <w:sz w:val="24"/>
          <w:szCs w:val="24"/>
        </w:rPr>
        <w:t>cesso nº 1720-02.00/15-6</w:t>
      </w:r>
      <w:r w:rsidRPr="006717F1">
        <w:rPr>
          <w:rStyle w:val="Refdenotaderodap"/>
          <w:rFonts w:ascii="Palatino Linotype" w:hAnsi="Palatino Linotype"/>
          <w:b/>
          <w:sz w:val="24"/>
          <w:szCs w:val="24"/>
        </w:rPr>
        <w:footnoteReference w:id="2"/>
      </w:r>
      <w:r w:rsidR="00433DBE" w:rsidRPr="006717F1">
        <w:rPr>
          <w:rFonts w:ascii="Palatino Linotype" w:hAnsi="Palatino Linotype"/>
          <w:b/>
          <w:sz w:val="24"/>
          <w:szCs w:val="24"/>
        </w:rPr>
        <w:t>:</w:t>
      </w:r>
    </w:p>
    <w:p w:rsidR="00433DBE" w:rsidRDefault="00433DBE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433DBE" w:rsidRPr="002C1217" w:rsidRDefault="00AF2091" w:rsidP="00365A21">
      <w:pPr>
        <w:spacing w:after="0" w:line="240" w:lineRule="auto"/>
        <w:ind w:left="212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“</w:t>
      </w:r>
      <w:r w:rsidR="00C6457F">
        <w:rPr>
          <w:rFonts w:ascii="Palatino Linotype" w:hAnsi="Palatino Linotype"/>
          <w:sz w:val="24"/>
          <w:szCs w:val="24"/>
        </w:rPr>
        <w:t xml:space="preserve">... </w:t>
      </w:r>
      <w:r w:rsidR="00433DBE" w:rsidRPr="00433DBE">
        <w:rPr>
          <w:rFonts w:ascii="Palatino Linotype" w:hAnsi="Palatino Linotype"/>
          <w:sz w:val="24"/>
          <w:szCs w:val="24"/>
        </w:rPr>
        <w:t xml:space="preserve">decide manter o procedimento atualmente adotado por esta Corte, que após expressa determinação, passou a </w:t>
      </w:r>
      <w:r w:rsidR="00433DBE" w:rsidRPr="00C6457F">
        <w:rPr>
          <w:rFonts w:ascii="Palatino Linotype" w:hAnsi="Palatino Linotype"/>
          <w:b/>
          <w:sz w:val="24"/>
          <w:szCs w:val="24"/>
          <w:u w:val="single"/>
        </w:rPr>
        <w:t>desconsiderar da base de cálculo para o cálculo de acréscimos ulteriores toda e qualquer vantagem que o servidor faça jus, inclusive a Fu</w:t>
      </w:r>
      <w:r w:rsidR="00433DBE" w:rsidRPr="00C6457F">
        <w:rPr>
          <w:rFonts w:ascii="Palatino Linotype" w:hAnsi="Palatino Linotype"/>
          <w:b/>
          <w:sz w:val="24"/>
          <w:szCs w:val="24"/>
          <w:u w:val="single"/>
        </w:rPr>
        <w:t>n</w:t>
      </w:r>
      <w:r w:rsidR="00433DBE" w:rsidRPr="00C6457F">
        <w:rPr>
          <w:rFonts w:ascii="Palatino Linotype" w:hAnsi="Palatino Linotype"/>
          <w:b/>
          <w:sz w:val="24"/>
          <w:szCs w:val="24"/>
          <w:u w:val="single"/>
        </w:rPr>
        <w:t>ção Gratificada</w:t>
      </w:r>
      <w:r w:rsidR="00433DBE" w:rsidRPr="00433DBE">
        <w:rPr>
          <w:rFonts w:ascii="Palatino Linotype" w:hAnsi="Palatino Linotype"/>
          <w:sz w:val="24"/>
          <w:szCs w:val="24"/>
        </w:rPr>
        <w:t>. Decide, ainda, também nos termos do voto de desempate profer</w:t>
      </w:r>
      <w:r w:rsidR="00C6457F">
        <w:rPr>
          <w:rFonts w:ascii="Palatino Linotype" w:hAnsi="Palatino Linotype"/>
          <w:sz w:val="24"/>
          <w:szCs w:val="24"/>
        </w:rPr>
        <w:t>id</w:t>
      </w:r>
      <w:r w:rsidR="00433DBE" w:rsidRPr="00433DBE">
        <w:rPr>
          <w:rFonts w:ascii="Palatino Linotype" w:hAnsi="Palatino Linotype"/>
          <w:sz w:val="24"/>
          <w:szCs w:val="24"/>
        </w:rPr>
        <w:t>o pelo Conselheiro Marco Peixoto, na cond</w:t>
      </w:r>
      <w:r w:rsidR="00433DBE" w:rsidRPr="00433DBE">
        <w:rPr>
          <w:rFonts w:ascii="Palatino Linotype" w:hAnsi="Palatino Linotype"/>
          <w:sz w:val="24"/>
          <w:szCs w:val="24"/>
        </w:rPr>
        <w:t>i</w:t>
      </w:r>
      <w:r w:rsidR="00433DBE" w:rsidRPr="00433DBE">
        <w:rPr>
          <w:rFonts w:ascii="Palatino Linotype" w:hAnsi="Palatino Linotype"/>
          <w:sz w:val="24"/>
          <w:szCs w:val="24"/>
        </w:rPr>
        <w:t>ção de Presidente, que anuiu ao voto do Conselheiro Cezar Mi</w:t>
      </w:r>
      <w:r w:rsidR="00433DBE" w:rsidRPr="00433DBE">
        <w:rPr>
          <w:rFonts w:ascii="Palatino Linotype" w:hAnsi="Palatino Linotype"/>
          <w:sz w:val="24"/>
          <w:szCs w:val="24"/>
        </w:rPr>
        <w:t>o</w:t>
      </w:r>
      <w:r w:rsidR="00433DBE" w:rsidRPr="00433DBE">
        <w:rPr>
          <w:rFonts w:ascii="Palatino Linotype" w:hAnsi="Palatino Linotype"/>
          <w:sz w:val="24"/>
          <w:szCs w:val="24"/>
        </w:rPr>
        <w:t xml:space="preserve">la, o qual foi também acompanhado pelos Conselheiros Estilac Xavier e Iradir Pietroski, aplicar </w:t>
      </w:r>
      <w:r w:rsidR="00433DBE" w:rsidRPr="00EC466C">
        <w:rPr>
          <w:rFonts w:ascii="Palatino Linotype" w:hAnsi="Palatino Linotype"/>
          <w:sz w:val="24"/>
          <w:szCs w:val="24"/>
          <w:u w:val="single"/>
        </w:rPr>
        <w:t>o posicionamento ora esposado como orientação desta Casa na Seara afeta ao controle externo por ela exercido</w:t>
      </w:r>
      <w:r>
        <w:rPr>
          <w:rFonts w:ascii="Palatino Linotype" w:hAnsi="Palatino Linotype"/>
          <w:sz w:val="24"/>
          <w:szCs w:val="24"/>
          <w:u w:val="single"/>
        </w:rPr>
        <w:t>”</w:t>
      </w:r>
      <w:r w:rsidR="00433DBE" w:rsidRPr="00433DBE">
        <w:rPr>
          <w:rFonts w:ascii="Palatino Linotype" w:hAnsi="Palatino Linotype"/>
          <w:sz w:val="24"/>
          <w:szCs w:val="24"/>
        </w:rPr>
        <w:t>.</w:t>
      </w:r>
    </w:p>
    <w:p w:rsidR="00572222" w:rsidRDefault="00572222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B033D7" w:rsidRDefault="0058533A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</w:t>
      </w:r>
      <w:r w:rsidRPr="0058533A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propositura em apreço</w:t>
      </w:r>
      <w:r w:rsidR="00041C0B">
        <w:rPr>
          <w:rFonts w:ascii="Palatino Linotype" w:hAnsi="Palatino Linotype"/>
          <w:sz w:val="24"/>
          <w:szCs w:val="24"/>
        </w:rPr>
        <w:t>, no que se refere ao art. 1º,</w:t>
      </w:r>
      <w:r>
        <w:rPr>
          <w:rFonts w:ascii="Palatino Linotype" w:hAnsi="Palatino Linotype"/>
          <w:sz w:val="24"/>
          <w:szCs w:val="24"/>
        </w:rPr>
        <w:t xml:space="preserve"> com efeito</w:t>
      </w:r>
      <w:r w:rsidRPr="0058533A">
        <w:rPr>
          <w:rFonts w:ascii="Palatino Linotype" w:hAnsi="Palatino Linotype"/>
          <w:sz w:val="24"/>
          <w:szCs w:val="24"/>
        </w:rPr>
        <w:t xml:space="preserve"> alcançará os efeitos pretendidos pelo </w:t>
      </w:r>
      <w:r w:rsidR="00041C0B">
        <w:rPr>
          <w:rFonts w:ascii="Palatino Linotype" w:hAnsi="Palatino Linotype"/>
          <w:sz w:val="24"/>
          <w:szCs w:val="24"/>
        </w:rPr>
        <w:t>TCE-RS</w:t>
      </w:r>
      <w:r>
        <w:rPr>
          <w:rFonts w:ascii="Palatino Linotype" w:hAnsi="Palatino Linotype"/>
          <w:sz w:val="24"/>
          <w:szCs w:val="24"/>
        </w:rPr>
        <w:t xml:space="preserve">, para que não haja o indevido </w:t>
      </w:r>
      <w:r w:rsidR="006D6A94">
        <w:rPr>
          <w:rFonts w:ascii="Palatino Linotype" w:hAnsi="Palatino Linotype"/>
          <w:sz w:val="24"/>
          <w:szCs w:val="24"/>
        </w:rPr>
        <w:t>“</w:t>
      </w:r>
      <w:r>
        <w:rPr>
          <w:rFonts w:ascii="Palatino Linotype" w:hAnsi="Palatino Linotype"/>
          <w:sz w:val="24"/>
          <w:szCs w:val="24"/>
        </w:rPr>
        <w:t>efeito cascata</w:t>
      </w:r>
      <w:r w:rsidR="006D6A94">
        <w:rPr>
          <w:rFonts w:ascii="Palatino Linotype" w:hAnsi="Palatino Linotype"/>
          <w:sz w:val="24"/>
          <w:szCs w:val="24"/>
        </w:rPr>
        <w:t>”</w:t>
      </w:r>
      <w:r w:rsidRPr="0058533A">
        <w:rPr>
          <w:rFonts w:ascii="Palatino Linotype" w:hAnsi="Palatino Linotype"/>
          <w:sz w:val="24"/>
          <w:szCs w:val="24"/>
        </w:rPr>
        <w:t>. Ressaltamos que foi esta a solução do Município de Porto Alegre efetivada pela Lei Complementar n</w:t>
      </w:r>
      <w:r>
        <w:rPr>
          <w:rFonts w:ascii="Palatino Linotype" w:hAnsi="Palatino Linotype"/>
          <w:sz w:val="24"/>
          <w:szCs w:val="24"/>
        </w:rPr>
        <w:t>º</w:t>
      </w:r>
      <w:r w:rsidRPr="0058533A">
        <w:rPr>
          <w:rFonts w:ascii="Palatino Linotype" w:hAnsi="Palatino Linotype"/>
          <w:sz w:val="24"/>
          <w:szCs w:val="24"/>
        </w:rPr>
        <w:t xml:space="preserve"> 768, de 2015</w:t>
      </w:r>
      <w:r w:rsidR="00905F8B">
        <w:rPr>
          <w:rStyle w:val="Refdenotaderodap"/>
          <w:rFonts w:ascii="Palatino Linotype" w:hAnsi="Palatino Linotype"/>
          <w:sz w:val="24"/>
          <w:szCs w:val="24"/>
        </w:rPr>
        <w:footnoteReference w:id="3"/>
      </w:r>
      <w:r w:rsidRPr="0058533A">
        <w:rPr>
          <w:rFonts w:ascii="Palatino Linotype" w:hAnsi="Palatino Linotype"/>
          <w:sz w:val="24"/>
          <w:szCs w:val="24"/>
        </w:rPr>
        <w:t>, adequando as normas relativas à composição rem</w:t>
      </w:r>
      <w:r w:rsidRPr="0058533A">
        <w:rPr>
          <w:rFonts w:ascii="Palatino Linotype" w:hAnsi="Palatino Linotype"/>
          <w:sz w:val="24"/>
          <w:szCs w:val="24"/>
        </w:rPr>
        <w:t>u</w:t>
      </w:r>
      <w:r w:rsidRPr="0058533A">
        <w:rPr>
          <w:rFonts w:ascii="Palatino Linotype" w:hAnsi="Palatino Linotype"/>
          <w:sz w:val="24"/>
          <w:szCs w:val="24"/>
        </w:rPr>
        <w:t>neratória dos funcionários e ajustando-se aos ditames da norma constitucional</w:t>
      </w:r>
      <w:r>
        <w:rPr>
          <w:rFonts w:ascii="Palatino Linotype" w:hAnsi="Palatino Linotype"/>
          <w:sz w:val="24"/>
          <w:szCs w:val="24"/>
        </w:rPr>
        <w:t xml:space="preserve"> que veda o “</w:t>
      </w:r>
      <w:r w:rsidR="006D6A94">
        <w:rPr>
          <w:rFonts w:ascii="Palatino Linotype" w:hAnsi="Palatino Linotype"/>
          <w:sz w:val="24"/>
          <w:szCs w:val="24"/>
        </w:rPr>
        <w:t xml:space="preserve">efeito </w:t>
      </w:r>
      <w:r>
        <w:rPr>
          <w:rFonts w:ascii="Palatino Linotype" w:hAnsi="Palatino Linotype"/>
          <w:sz w:val="24"/>
          <w:szCs w:val="24"/>
        </w:rPr>
        <w:t>repicão”</w:t>
      </w:r>
      <w:r w:rsidR="006D6A94">
        <w:rPr>
          <w:rFonts w:ascii="Palatino Linotype" w:hAnsi="Palatino Linotype"/>
          <w:sz w:val="24"/>
          <w:szCs w:val="24"/>
        </w:rPr>
        <w:t xml:space="preserve"> ou “efeito cascata”</w:t>
      </w:r>
      <w:r w:rsidRPr="0058533A">
        <w:rPr>
          <w:rFonts w:ascii="Palatino Linotype" w:hAnsi="Palatino Linotype"/>
          <w:sz w:val="24"/>
          <w:szCs w:val="24"/>
        </w:rPr>
        <w:t>, assim como resguardando a irredutibil</w:t>
      </w:r>
      <w:r w:rsidRPr="0058533A">
        <w:rPr>
          <w:rFonts w:ascii="Palatino Linotype" w:hAnsi="Palatino Linotype"/>
          <w:sz w:val="24"/>
          <w:szCs w:val="24"/>
        </w:rPr>
        <w:t>i</w:t>
      </w:r>
      <w:r w:rsidRPr="0058533A">
        <w:rPr>
          <w:rFonts w:ascii="Palatino Linotype" w:hAnsi="Palatino Linotype"/>
          <w:sz w:val="24"/>
          <w:szCs w:val="24"/>
        </w:rPr>
        <w:t>dade r</w:t>
      </w:r>
      <w:r w:rsidRPr="0058533A">
        <w:rPr>
          <w:rFonts w:ascii="Palatino Linotype" w:hAnsi="Palatino Linotype"/>
          <w:sz w:val="24"/>
          <w:szCs w:val="24"/>
        </w:rPr>
        <w:t>e</w:t>
      </w:r>
      <w:r w:rsidRPr="0058533A">
        <w:rPr>
          <w:rFonts w:ascii="Palatino Linotype" w:hAnsi="Palatino Linotype"/>
          <w:sz w:val="24"/>
          <w:szCs w:val="24"/>
        </w:rPr>
        <w:t>muneratória dos servidores. A mesma adequação foi promovida ainda pelo PR</w:t>
      </w:r>
      <w:r w:rsidRPr="0058533A">
        <w:rPr>
          <w:rFonts w:ascii="Palatino Linotype" w:hAnsi="Palatino Linotype"/>
          <w:sz w:val="24"/>
          <w:szCs w:val="24"/>
        </w:rPr>
        <w:t>E</w:t>
      </w:r>
      <w:r w:rsidRPr="0058533A">
        <w:rPr>
          <w:rFonts w:ascii="Palatino Linotype" w:hAnsi="Palatino Linotype"/>
          <w:sz w:val="24"/>
          <w:szCs w:val="24"/>
        </w:rPr>
        <w:t>VIMPA pela Lei n</w:t>
      </w:r>
      <w:r w:rsidR="00D26F12">
        <w:rPr>
          <w:rFonts w:ascii="Palatino Linotype" w:hAnsi="Palatino Linotype"/>
          <w:sz w:val="24"/>
          <w:szCs w:val="24"/>
        </w:rPr>
        <w:t>º</w:t>
      </w:r>
      <w:r w:rsidRPr="0058533A">
        <w:rPr>
          <w:rFonts w:ascii="Palatino Linotype" w:hAnsi="Palatino Linotype"/>
          <w:sz w:val="24"/>
          <w:szCs w:val="24"/>
        </w:rPr>
        <w:t xml:space="preserve"> 11.922/2015.</w:t>
      </w:r>
      <w:r w:rsidR="00623974">
        <w:rPr>
          <w:rFonts w:ascii="Palatino Linotype" w:hAnsi="Palatino Linotype"/>
          <w:sz w:val="24"/>
          <w:szCs w:val="24"/>
        </w:rPr>
        <w:t xml:space="preserve"> </w:t>
      </w:r>
      <w:r w:rsidR="004F7AE1">
        <w:rPr>
          <w:rFonts w:ascii="Palatino Linotype" w:hAnsi="Palatino Linotype"/>
          <w:sz w:val="24"/>
          <w:szCs w:val="24"/>
        </w:rPr>
        <w:t xml:space="preserve">A Prefeitura Municipal de Porto Alegre elaborou inclusive um Guia esclarecendo as alterações promovidas naquele ente: </w:t>
      </w:r>
      <w:hyperlink r:id="rId8" w:history="1">
        <w:r w:rsidR="004F7AE1" w:rsidRPr="00DF49B1">
          <w:rPr>
            <w:rStyle w:val="Hyperlink"/>
            <w:rFonts w:ascii="Palatino Linotype" w:hAnsi="Palatino Linotype"/>
            <w:sz w:val="24"/>
            <w:szCs w:val="24"/>
          </w:rPr>
          <w:t>http://lproweb.procempa.com.br/pmpa/prefpoa/sma/usu_doc/guia-efeito_cascata.pdf</w:t>
        </w:r>
      </w:hyperlink>
      <w:r w:rsidR="004F7AE1">
        <w:rPr>
          <w:rFonts w:ascii="Palatino Linotype" w:hAnsi="Palatino Linotype"/>
          <w:sz w:val="24"/>
          <w:szCs w:val="24"/>
        </w:rPr>
        <w:t xml:space="preserve">. </w:t>
      </w:r>
    </w:p>
    <w:p w:rsidR="00B033D7" w:rsidRDefault="00B033D7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8533A" w:rsidRDefault="00623974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Em suma, o PLE nº 0</w:t>
      </w:r>
      <w:r w:rsidR="00041C0B">
        <w:rPr>
          <w:rFonts w:ascii="Palatino Linotype" w:hAnsi="Palatino Linotype"/>
          <w:sz w:val="24"/>
          <w:szCs w:val="24"/>
        </w:rPr>
        <w:t>71</w:t>
      </w:r>
      <w:r>
        <w:rPr>
          <w:rFonts w:ascii="Palatino Linotype" w:hAnsi="Palatino Linotype"/>
          <w:sz w:val="24"/>
          <w:szCs w:val="24"/>
        </w:rPr>
        <w:t>/202</w:t>
      </w:r>
      <w:r w:rsidR="00041C0B">
        <w:rPr>
          <w:rFonts w:ascii="Palatino Linotype" w:hAnsi="Palatino Linotype"/>
          <w:sz w:val="24"/>
          <w:szCs w:val="24"/>
        </w:rPr>
        <w:t>3</w:t>
      </w:r>
      <w:r>
        <w:rPr>
          <w:rFonts w:ascii="Palatino Linotype" w:hAnsi="Palatino Linotype"/>
          <w:sz w:val="24"/>
          <w:szCs w:val="24"/>
        </w:rPr>
        <w:t xml:space="preserve"> também </w:t>
      </w:r>
      <w:r w:rsidRPr="00623974">
        <w:rPr>
          <w:rFonts w:ascii="Palatino Linotype" w:hAnsi="Palatino Linotype"/>
          <w:sz w:val="24"/>
          <w:szCs w:val="24"/>
        </w:rPr>
        <w:t>promove a adequação na base de cálculo na percepção dos regimes especiais de trabalho</w:t>
      </w:r>
      <w:r w:rsidR="00B033D7">
        <w:rPr>
          <w:rFonts w:ascii="Palatino Linotype" w:hAnsi="Palatino Linotype"/>
          <w:sz w:val="24"/>
          <w:szCs w:val="24"/>
        </w:rPr>
        <w:t xml:space="preserve">, em observância ao </w:t>
      </w:r>
      <w:r w:rsidR="00B033D7" w:rsidRPr="00B033D7">
        <w:rPr>
          <w:rFonts w:ascii="Palatino Linotype" w:hAnsi="Palatino Linotype"/>
          <w:sz w:val="24"/>
          <w:szCs w:val="24"/>
          <w:u w:val="single"/>
        </w:rPr>
        <w:t>entend</w:t>
      </w:r>
      <w:r w:rsidR="00B033D7" w:rsidRPr="00B033D7">
        <w:rPr>
          <w:rFonts w:ascii="Palatino Linotype" w:hAnsi="Palatino Linotype"/>
          <w:sz w:val="24"/>
          <w:szCs w:val="24"/>
          <w:u w:val="single"/>
        </w:rPr>
        <w:t>i</w:t>
      </w:r>
      <w:r w:rsidR="00B033D7" w:rsidRPr="00B033D7">
        <w:rPr>
          <w:rFonts w:ascii="Palatino Linotype" w:hAnsi="Palatino Linotype"/>
          <w:sz w:val="24"/>
          <w:szCs w:val="24"/>
          <w:u w:val="single"/>
        </w:rPr>
        <w:t>me</w:t>
      </w:r>
      <w:r w:rsidR="00B033D7" w:rsidRPr="00B033D7">
        <w:rPr>
          <w:rFonts w:ascii="Palatino Linotype" w:hAnsi="Palatino Linotype"/>
          <w:sz w:val="24"/>
          <w:szCs w:val="24"/>
          <w:u w:val="single"/>
        </w:rPr>
        <w:t>n</w:t>
      </w:r>
      <w:r w:rsidR="00B033D7" w:rsidRPr="00B033D7">
        <w:rPr>
          <w:rFonts w:ascii="Palatino Linotype" w:hAnsi="Palatino Linotype"/>
          <w:sz w:val="24"/>
          <w:szCs w:val="24"/>
          <w:u w:val="single"/>
        </w:rPr>
        <w:t>to dos tribunais de que a alteração empreendida pela E.C. nº 19/98 ao ART. 37, XIV, da Constituição Federal teve o escopo de instituir, de forma clara, a regra de que, na remuneração dos servidores públicos, há de prevalecer a transparência e a moralid</w:t>
      </w:r>
      <w:r w:rsidR="00B033D7" w:rsidRPr="00B033D7">
        <w:rPr>
          <w:rFonts w:ascii="Palatino Linotype" w:hAnsi="Palatino Linotype"/>
          <w:sz w:val="24"/>
          <w:szCs w:val="24"/>
          <w:u w:val="single"/>
        </w:rPr>
        <w:t>a</w:t>
      </w:r>
      <w:r w:rsidR="00B033D7" w:rsidRPr="00B033D7">
        <w:rPr>
          <w:rFonts w:ascii="Palatino Linotype" w:hAnsi="Palatino Linotype"/>
          <w:sz w:val="24"/>
          <w:szCs w:val="24"/>
          <w:u w:val="single"/>
        </w:rPr>
        <w:t>de, ficando vedado que, por efeito da incidência em repicão, as vantagens pessoais e as gratificações de função incidam sobre outra base de cálculo que não a do venc</w:t>
      </w:r>
      <w:r w:rsidR="00B033D7" w:rsidRPr="00B033D7">
        <w:rPr>
          <w:rFonts w:ascii="Palatino Linotype" w:hAnsi="Palatino Linotype"/>
          <w:sz w:val="24"/>
          <w:szCs w:val="24"/>
          <w:u w:val="single"/>
        </w:rPr>
        <w:t>i</w:t>
      </w:r>
      <w:r w:rsidR="00B033D7" w:rsidRPr="00B033D7">
        <w:rPr>
          <w:rFonts w:ascii="Palatino Linotype" w:hAnsi="Palatino Linotype"/>
          <w:sz w:val="24"/>
          <w:szCs w:val="24"/>
          <w:u w:val="single"/>
        </w:rPr>
        <w:t>mento básico do cargo</w:t>
      </w:r>
      <w:r w:rsidR="00B90B03">
        <w:rPr>
          <w:rFonts w:ascii="Palatino Linotype" w:hAnsi="Palatino Linotype"/>
          <w:sz w:val="24"/>
          <w:szCs w:val="24"/>
          <w:u w:val="single"/>
        </w:rPr>
        <w:t xml:space="preserve"> -</w:t>
      </w:r>
      <w:r w:rsidR="00B033D7" w:rsidRPr="00B033D7">
        <w:rPr>
          <w:rFonts w:ascii="Palatino Linotype" w:hAnsi="Palatino Linotype"/>
          <w:sz w:val="24"/>
          <w:szCs w:val="24"/>
        </w:rPr>
        <w:t xml:space="preserve">  Exegese do Supremo Tribunal Federal adotada, em repe</w:t>
      </w:r>
      <w:r w:rsidR="00B033D7" w:rsidRPr="00B033D7">
        <w:rPr>
          <w:rFonts w:ascii="Palatino Linotype" w:hAnsi="Palatino Linotype"/>
          <w:sz w:val="24"/>
          <w:szCs w:val="24"/>
        </w:rPr>
        <w:t>r</w:t>
      </w:r>
      <w:r w:rsidR="00B033D7" w:rsidRPr="00B033D7">
        <w:rPr>
          <w:rFonts w:ascii="Palatino Linotype" w:hAnsi="Palatino Linotype"/>
          <w:sz w:val="24"/>
          <w:szCs w:val="24"/>
        </w:rPr>
        <w:t>cussão geral, no RE nº 563.708, julgado em 06/02/2013.</w:t>
      </w:r>
    </w:p>
    <w:p w:rsidR="004B5B99" w:rsidRDefault="004B5B99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4B5B99" w:rsidRDefault="00B9690C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Com efeito, a alteração pretendida pela Mensagem Retificativa dá maior clareza ao texto.</w:t>
      </w:r>
    </w:p>
    <w:p w:rsidR="00EB4991" w:rsidRDefault="00EB4991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EB4991" w:rsidRDefault="00EB4991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Quanto ao teor do art. 4º que dispõe acerca d</w:t>
      </w:r>
      <w:r w:rsidRPr="00EB4991">
        <w:rPr>
          <w:rFonts w:ascii="Palatino Linotype" w:hAnsi="Palatino Linotype"/>
          <w:sz w:val="24"/>
          <w:szCs w:val="24"/>
        </w:rPr>
        <w:t xml:space="preserve">os inativos, entende-se que </w:t>
      </w:r>
      <w:r w:rsidR="004770DD">
        <w:rPr>
          <w:rFonts w:ascii="Palatino Linotype" w:hAnsi="Palatino Linotype"/>
          <w:sz w:val="24"/>
          <w:szCs w:val="24"/>
        </w:rPr>
        <w:t>seria possível a implementação de parcela de equivalência</w:t>
      </w:r>
      <w:r w:rsidRPr="00EB4991">
        <w:rPr>
          <w:rFonts w:ascii="Palatino Linotype" w:hAnsi="Palatino Linotype"/>
          <w:sz w:val="24"/>
          <w:szCs w:val="24"/>
        </w:rPr>
        <w:t>, visto que o valor incorp</w:t>
      </w:r>
      <w:r w:rsidRPr="00EB4991">
        <w:rPr>
          <w:rFonts w:ascii="Palatino Linotype" w:hAnsi="Palatino Linotype"/>
          <w:sz w:val="24"/>
          <w:szCs w:val="24"/>
        </w:rPr>
        <w:t>o</w:t>
      </w:r>
      <w:r w:rsidRPr="00EB4991">
        <w:rPr>
          <w:rFonts w:ascii="Palatino Linotype" w:hAnsi="Palatino Linotype"/>
          <w:sz w:val="24"/>
          <w:szCs w:val="24"/>
        </w:rPr>
        <w:t>rado na ativa e que somou aos seus proventos posteriormente de acordo com a sua regra de aposentadoria, não ser</w:t>
      </w:r>
      <w:r w:rsidR="00066D86">
        <w:rPr>
          <w:rFonts w:ascii="Palatino Linotype" w:hAnsi="Palatino Linotype"/>
          <w:sz w:val="24"/>
          <w:szCs w:val="24"/>
        </w:rPr>
        <w:t>iam assim</w:t>
      </w:r>
      <w:r w:rsidRPr="00EB4991">
        <w:rPr>
          <w:rFonts w:ascii="Palatino Linotype" w:hAnsi="Palatino Linotype"/>
          <w:sz w:val="24"/>
          <w:szCs w:val="24"/>
        </w:rPr>
        <w:t xml:space="preserve"> modificados</w:t>
      </w:r>
      <w:r w:rsidR="00066D86">
        <w:rPr>
          <w:rFonts w:ascii="Palatino Linotype" w:hAnsi="Palatino Linotype"/>
          <w:sz w:val="24"/>
          <w:szCs w:val="24"/>
        </w:rPr>
        <w:t>.</w:t>
      </w:r>
      <w:r w:rsidRPr="00EB4991">
        <w:rPr>
          <w:rFonts w:ascii="Palatino Linotype" w:hAnsi="Palatino Linotype"/>
          <w:sz w:val="24"/>
          <w:szCs w:val="24"/>
        </w:rPr>
        <w:t xml:space="preserve"> </w:t>
      </w:r>
      <w:r w:rsidR="00066D86">
        <w:rPr>
          <w:rFonts w:ascii="Palatino Linotype" w:hAnsi="Palatino Linotype"/>
          <w:sz w:val="24"/>
          <w:szCs w:val="24"/>
        </w:rPr>
        <w:t>E</w:t>
      </w:r>
      <w:r w:rsidRPr="00EB4991">
        <w:rPr>
          <w:rFonts w:ascii="Palatino Linotype" w:hAnsi="Palatino Linotype"/>
          <w:sz w:val="24"/>
          <w:szCs w:val="24"/>
        </w:rPr>
        <w:t>s</w:t>
      </w:r>
      <w:r w:rsidR="00066D86">
        <w:rPr>
          <w:rFonts w:ascii="Palatino Linotype" w:hAnsi="Palatino Linotype"/>
          <w:sz w:val="24"/>
          <w:szCs w:val="24"/>
        </w:rPr>
        <w:t>s</w:t>
      </w:r>
      <w:r w:rsidRPr="00EB4991">
        <w:rPr>
          <w:rFonts w:ascii="Palatino Linotype" w:hAnsi="Palatino Linotype"/>
          <w:sz w:val="24"/>
          <w:szCs w:val="24"/>
        </w:rPr>
        <w:t>e foi o entendimento do TJ/RS em caso análogo</w:t>
      </w:r>
      <w:r>
        <w:rPr>
          <w:rFonts w:ascii="Palatino Linotype" w:hAnsi="Palatino Linotype"/>
          <w:sz w:val="24"/>
          <w:szCs w:val="24"/>
        </w:rPr>
        <w:t xml:space="preserve"> na </w:t>
      </w:r>
      <w:r w:rsidRPr="00EB4991">
        <w:rPr>
          <w:rFonts w:ascii="Palatino Linotype" w:hAnsi="Palatino Linotype"/>
          <w:sz w:val="24"/>
          <w:szCs w:val="24"/>
        </w:rPr>
        <w:t>Apelação Cível, Nº 50033230520208210021, Terceira Câm</w:t>
      </w:r>
      <w:r w:rsidRPr="00EB4991">
        <w:rPr>
          <w:rFonts w:ascii="Palatino Linotype" w:hAnsi="Palatino Linotype"/>
          <w:sz w:val="24"/>
          <w:szCs w:val="24"/>
        </w:rPr>
        <w:t>a</w:t>
      </w:r>
      <w:r w:rsidRPr="00EB4991">
        <w:rPr>
          <w:rFonts w:ascii="Palatino Linotype" w:hAnsi="Palatino Linotype"/>
          <w:sz w:val="24"/>
          <w:szCs w:val="24"/>
        </w:rPr>
        <w:t>ra Cível, Trib</w:t>
      </w:r>
      <w:r w:rsidRPr="00EB4991">
        <w:rPr>
          <w:rFonts w:ascii="Palatino Linotype" w:hAnsi="Palatino Linotype"/>
          <w:sz w:val="24"/>
          <w:szCs w:val="24"/>
        </w:rPr>
        <w:t>u</w:t>
      </w:r>
      <w:r w:rsidRPr="00EB4991">
        <w:rPr>
          <w:rFonts w:ascii="Palatino Linotype" w:hAnsi="Palatino Linotype"/>
          <w:sz w:val="24"/>
          <w:szCs w:val="24"/>
        </w:rPr>
        <w:t>nal de Justiça do RS, Relator: Matilde Chabar Maia, Julgado em: 20-08-2020</w:t>
      </w:r>
      <w:r>
        <w:rPr>
          <w:rFonts w:ascii="Palatino Linotype" w:hAnsi="Palatino Linotype"/>
          <w:sz w:val="24"/>
          <w:szCs w:val="24"/>
        </w:rPr>
        <w:t>.</w:t>
      </w:r>
      <w:r w:rsidR="00A44804">
        <w:rPr>
          <w:rFonts w:ascii="Palatino Linotype" w:hAnsi="Palatino Linotype"/>
          <w:sz w:val="24"/>
          <w:szCs w:val="24"/>
        </w:rPr>
        <w:t xml:space="preserve"> Foi essa também a solução utilizada pelo Município de Porto Alegre na </w:t>
      </w:r>
      <w:r w:rsidR="00E51551" w:rsidRPr="00E51551">
        <w:rPr>
          <w:rFonts w:ascii="Palatino Linotype" w:hAnsi="Palatino Linotype"/>
          <w:sz w:val="24"/>
          <w:szCs w:val="24"/>
        </w:rPr>
        <w:t>LEI Nº 11.922, DE 23 DE SETEMBRO DE 2015</w:t>
      </w:r>
      <w:r w:rsidR="004F258C">
        <w:rPr>
          <w:rFonts w:ascii="Palatino Linotype" w:hAnsi="Palatino Linotype"/>
          <w:sz w:val="24"/>
          <w:szCs w:val="24"/>
        </w:rPr>
        <w:t>,</w:t>
      </w:r>
      <w:r w:rsidR="00152F2B">
        <w:rPr>
          <w:rFonts w:ascii="Palatino Linotype" w:hAnsi="Palatino Linotype"/>
          <w:sz w:val="24"/>
          <w:szCs w:val="24"/>
        </w:rPr>
        <w:t xml:space="preserve"> no bojo da </w:t>
      </w:r>
      <w:r w:rsidR="00152F2B" w:rsidRPr="00152F2B">
        <w:rPr>
          <w:rFonts w:ascii="Palatino Linotype" w:hAnsi="Palatino Linotype"/>
          <w:sz w:val="24"/>
          <w:szCs w:val="24"/>
        </w:rPr>
        <w:t>Ação Civil Pública nº 001/1.10.0165223-2</w:t>
      </w:r>
      <w:r w:rsidR="00E51551" w:rsidRPr="00E51551">
        <w:rPr>
          <w:rFonts w:ascii="Palatino Linotype" w:hAnsi="Palatino Linotype"/>
          <w:sz w:val="24"/>
          <w:szCs w:val="24"/>
        </w:rPr>
        <w:t>.</w:t>
      </w:r>
    </w:p>
    <w:p w:rsidR="00152F2B" w:rsidRDefault="00152F2B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152F2B" w:rsidRPr="00152F2B" w:rsidRDefault="00152F2B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152F2B">
        <w:rPr>
          <w:rFonts w:ascii="Palatino Linotype" w:hAnsi="Palatino Linotype"/>
          <w:sz w:val="24"/>
          <w:szCs w:val="24"/>
        </w:rPr>
        <w:t>A proposta visa adequar a celeuma ao assentado pelo STF quanto à apl</w:t>
      </w:r>
      <w:r w:rsidRPr="00152F2B">
        <w:rPr>
          <w:rFonts w:ascii="Palatino Linotype" w:hAnsi="Palatino Linotype"/>
          <w:sz w:val="24"/>
          <w:szCs w:val="24"/>
        </w:rPr>
        <w:t>i</w:t>
      </w:r>
      <w:r w:rsidRPr="00152F2B">
        <w:rPr>
          <w:rFonts w:ascii="Palatino Linotype" w:hAnsi="Palatino Linotype"/>
          <w:sz w:val="24"/>
          <w:szCs w:val="24"/>
        </w:rPr>
        <w:t>cabilidade im</w:t>
      </w:r>
      <w:r w:rsidRPr="00152F2B">
        <w:rPr>
          <w:rFonts w:ascii="Palatino Linotype" w:hAnsi="Palatino Linotype"/>
          <w:sz w:val="24"/>
          <w:szCs w:val="24"/>
        </w:rPr>
        <w:t>e</w:t>
      </w:r>
      <w:r w:rsidRPr="00152F2B">
        <w:rPr>
          <w:rFonts w:ascii="Palatino Linotype" w:hAnsi="Palatino Linotype"/>
          <w:sz w:val="24"/>
          <w:szCs w:val="24"/>
        </w:rPr>
        <w:t>diata do art. 37, inciso XIV, da CF/88 e o princípio da a irredutibilidade de proventos e de vencime</w:t>
      </w:r>
      <w:r w:rsidRPr="00152F2B">
        <w:rPr>
          <w:rFonts w:ascii="Palatino Linotype" w:hAnsi="Palatino Linotype"/>
          <w:sz w:val="24"/>
          <w:szCs w:val="24"/>
        </w:rPr>
        <w:t>n</w:t>
      </w:r>
      <w:r w:rsidRPr="00152F2B">
        <w:rPr>
          <w:rFonts w:ascii="Palatino Linotype" w:hAnsi="Palatino Linotype"/>
          <w:sz w:val="24"/>
          <w:szCs w:val="24"/>
        </w:rPr>
        <w:t>tos, nos termos do seguinte precedente:</w:t>
      </w:r>
    </w:p>
    <w:p w:rsidR="00152F2B" w:rsidRDefault="00152F2B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152F2B" w:rsidRPr="00152F2B" w:rsidRDefault="00152F2B" w:rsidP="00152F2B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152F2B">
        <w:rPr>
          <w:rFonts w:ascii="Palatino Linotype" w:hAnsi="Palatino Linotype"/>
          <w:szCs w:val="24"/>
        </w:rPr>
        <w:t>AGRAVO REGIMENTAL NO RECURSO EXTRAORDINÁRIO. D</w:t>
      </w:r>
      <w:r w:rsidRPr="00152F2B">
        <w:rPr>
          <w:rFonts w:ascii="Palatino Linotype" w:hAnsi="Palatino Linotype"/>
          <w:szCs w:val="24"/>
        </w:rPr>
        <w:t>I</w:t>
      </w:r>
      <w:r w:rsidRPr="00152F2B">
        <w:rPr>
          <w:rFonts w:ascii="Palatino Linotype" w:hAnsi="Palatino Linotype"/>
          <w:szCs w:val="24"/>
        </w:rPr>
        <w:t>REITO ADMINISTRATIVO. SERVIDOR PÚBLICO ESTADUAL. D</w:t>
      </w:r>
      <w:r w:rsidRPr="00152F2B">
        <w:rPr>
          <w:rFonts w:ascii="Palatino Linotype" w:hAnsi="Palatino Linotype"/>
          <w:szCs w:val="24"/>
        </w:rPr>
        <w:t>I</w:t>
      </w:r>
      <w:r w:rsidRPr="00152F2B">
        <w:rPr>
          <w:rFonts w:ascii="Palatino Linotype" w:hAnsi="Palatino Linotype"/>
          <w:szCs w:val="24"/>
        </w:rPr>
        <w:t>REITO A QUINQUÊNIOS. EMENDA CONSTITUCIONAL 19/1998. PRINCÍPIO DA IRREDUTIBILIDADE SALARIAL. ADICIONAL POR TEMPO DE SERVIÇO. TEMA 24 DA REPE</w:t>
      </w:r>
      <w:r w:rsidRPr="00152F2B">
        <w:rPr>
          <w:rFonts w:ascii="Palatino Linotype" w:hAnsi="Palatino Linotype"/>
          <w:szCs w:val="24"/>
        </w:rPr>
        <w:t>R</w:t>
      </w:r>
      <w:r w:rsidRPr="00152F2B">
        <w:rPr>
          <w:rFonts w:ascii="Palatino Linotype" w:hAnsi="Palatino Linotype"/>
          <w:szCs w:val="24"/>
        </w:rPr>
        <w:t xml:space="preserve">CUSSÃO GERAL. AGRAVO A QUE SE NEGA PROVIMENTO. I – </w:t>
      </w:r>
      <w:r w:rsidRPr="00152F2B">
        <w:rPr>
          <w:rFonts w:ascii="Palatino Linotype" w:hAnsi="Palatino Linotype"/>
          <w:b/>
          <w:szCs w:val="24"/>
          <w:u w:val="single"/>
        </w:rPr>
        <w:t>Conforme o ente</w:t>
      </w:r>
      <w:r w:rsidRPr="00152F2B">
        <w:rPr>
          <w:rFonts w:ascii="Palatino Linotype" w:hAnsi="Palatino Linotype"/>
          <w:b/>
          <w:szCs w:val="24"/>
          <w:u w:val="single"/>
        </w:rPr>
        <w:t>n</w:t>
      </w:r>
      <w:r w:rsidRPr="00152F2B">
        <w:rPr>
          <w:rFonts w:ascii="Palatino Linotype" w:hAnsi="Palatino Linotype"/>
          <w:b/>
          <w:szCs w:val="24"/>
          <w:u w:val="single"/>
        </w:rPr>
        <w:t>dimento firmado no julgamento do RE 563.708/MS, deve-se comp</w:t>
      </w:r>
      <w:r w:rsidRPr="00152F2B">
        <w:rPr>
          <w:rFonts w:ascii="Palatino Linotype" w:hAnsi="Palatino Linotype"/>
          <w:b/>
          <w:szCs w:val="24"/>
          <w:u w:val="single"/>
        </w:rPr>
        <w:t>a</w:t>
      </w:r>
      <w:r w:rsidRPr="00152F2B">
        <w:rPr>
          <w:rFonts w:ascii="Palatino Linotype" w:hAnsi="Palatino Linotype"/>
          <w:b/>
          <w:szCs w:val="24"/>
          <w:u w:val="single"/>
        </w:rPr>
        <w:t>tibilizar a aplicação imediata do art. 37, XIV, da Constituição, na r</w:t>
      </w:r>
      <w:r w:rsidRPr="00152F2B">
        <w:rPr>
          <w:rFonts w:ascii="Palatino Linotype" w:hAnsi="Palatino Linotype"/>
          <w:b/>
          <w:szCs w:val="24"/>
          <w:u w:val="single"/>
        </w:rPr>
        <w:t>e</w:t>
      </w:r>
      <w:r w:rsidRPr="00152F2B">
        <w:rPr>
          <w:rFonts w:ascii="Palatino Linotype" w:hAnsi="Palatino Linotype"/>
          <w:b/>
          <w:szCs w:val="24"/>
          <w:u w:val="single"/>
        </w:rPr>
        <w:t>dação dada pela Emenda Constitucional 19/1998, e a ausência de d</w:t>
      </w:r>
      <w:r w:rsidRPr="00152F2B">
        <w:rPr>
          <w:rFonts w:ascii="Palatino Linotype" w:hAnsi="Palatino Linotype"/>
          <w:b/>
          <w:szCs w:val="24"/>
          <w:u w:val="single"/>
        </w:rPr>
        <w:t>i</w:t>
      </w:r>
      <w:r w:rsidRPr="00152F2B">
        <w:rPr>
          <w:rFonts w:ascii="Palatino Linotype" w:hAnsi="Palatino Linotype"/>
          <w:b/>
          <w:szCs w:val="24"/>
          <w:u w:val="single"/>
        </w:rPr>
        <w:t>reito adquirido a regime jurídico, com a garantia à irredutibilidade nominal de vencimentos.</w:t>
      </w:r>
      <w:r w:rsidRPr="00152F2B">
        <w:rPr>
          <w:rFonts w:ascii="Palatino Linotype" w:hAnsi="Palatino Linotype"/>
          <w:szCs w:val="24"/>
        </w:rPr>
        <w:t xml:space="preserve"> II – Agravo regimental a que se nega pr</w:t>
      </w:r>
      <w:r w:rsidRPr="00152F2B">
        <w:rPr>
          <w:rFonts w:ascii="Palatino Linotype" w:hAnsi="Palatino Linotype"/>
          <w:szCs w:val="24"/>
        </w:rPr>
        <w:t>o</w:t>
      </w:r>
      <w:r w:rsidRPr="00152F2B">
        <w:rPr>
          <w:rFonts w:ascii="Palatino Linotype" w:hAnsi="Palatino Linotype"/>
          <w:szCs w:val="24"/>
        </w:rPr>
        <w:t>vimento. (STF, 2ª Turma, Rel. Min. RICARDO LEWANDOWSKI, j. em 21/12/2020, DJe publicado em 09/02/2021, grifei).</w:t>
      </w:r>
    </w:p>
    <w:p w:rsidR="004B5B99" w:rsidRDefault="004B5B99" w:rsidP="003E2A5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DB7138" w:rsidRDefault="00DB7138" w:rsidP="00DB7138">
      <w:pPr>
        <w:pStyle w:val="PargrafodaLista"/>
        <w:numPr>
          <w:ilvl w:val="1"/>
          <w:numId w:val="2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B7138">
        <w:rPr>
          <w:rFonts w:ascii="Palatino Linotype" w:hAnsi="Palatino Linotype"/>
          <w:b/>
          <w:sz w:val="24"/>
          <w:szCs w:val="24"/>
        </w:rPr>
        <w:t>Do cumprimento das exigências orçamentário-financeiras</w:t>
      </w:r>
    </w:p>
    <w:p w:rsidR="00897A35" w:rsidRPr="00DB7138" w:rsidRDefault="00897A35" w:rsidP="00897A35">
      <w:pPr>
        <w:pStyle w:val="PargrafodaLista"/>
        <w:spacing w:after="0" w:line="360" w:lineRule="auto"/>
        <w:ind w:left="1854"/>
        <w:jc w:val="both"/>
        <w:rPr>
          <w:rFonts w:ascii="Palatino Linotype" w:hAnsi="Palatino Linotype"/>
          <w:b/>
          <w:sz w:val="24"/>
          <w:szCs w:val="24"/>
        </w:rPr>
      </w:pPr>
    </w:p>
    <w:p w:rsidR="005214F9" w:rsidRPr="002C1217" w:rsidRDefault="005214F9" w:rsidP="005214F9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2C1217">
        <w:rPr>
          <w:rFonts w:ascii="Palatino Linotype" w:hAnsi="Palatino Linotype"/>
          <w:sz w:val="24"/>
          <w:szCs w:val="24"/>
        </w:rPr>
        <w:t>Além do atendimento da competência e da iniciativa, o projeto para a cri</w:t>
      </w:r>
      <w:r w:rsidRPr="002C1217">
        <w:rPr>
          <w:rFonts w:ascii="Palatino Linotype" w:hAnsi="Palatino Linotype"/>
          <w:sz w:val="24"/>
          <w:szCs w:val="24"/>
        </w:rPr>
        <w:t>a</w:t>
      </w:r>
      <w:r w:rsidRPr="002C1217">
        <w:rPr>
          <w:rFonts w:ascii="Palatino Linotype" w:hAnsi="Palatino Linotype"/>
          <w:sz w:val="24"/>
          <w:szCs w:val="24"/>
        </w:rPr>
        <w:t xml:space="preserve">ção de cargos </w:t>
      </w:r>
      <w:r w:rsidR="00D74A32">
        <w:rPr>
          <w:rFonts w:ascii="Palatino Linotype" w:hAnsi="Palatino Linotype"/>
          <w:sz w:val="24"/>
          <w:szCs w:val="24"/>
        </w:rPr>
        <w:t xml:space="preserve">ou funções </w:t>
      </w:r>
      <w:r w:rsidRPr="002C1217">
        <w:rPr>
          <w:rFonts w:ascii="Palatino Linotype" w:hAnsi="Palatino Linotype"/>
          <w:sz w:val="24"/>
          <w:szCs w:val="24"/>
        </w:rPr>
        <w:t>públic</w:t>
      </w:r>
      <w:r w:rsidR="001F2226">
        <w:rPr>
          <w:rFonts w:ascii="Palatino Linotype" w:hAnsi="Palatino Linotype"/>
          <w:sz w:val="24"/>
          <w:szCs w:val="24"/>
        </w:rPr>
        <w:t>a</w:t>
      </w:r>
      <w:r w:rsidRPr="002C1217">
        <w:rPr>
          <w:rFonts w:ascii="Palatino Linotype" w:hAnsi="Palatino Linotype"/>
          <w:sz w:val="24"/>
          <w:szCs w:val="24"/>
        </w:rPr>
        <w:t xml:space="preserve">s </w:t>
      </w:r>
      <w:r w:rsidRPr="00D74A32">
        <w:rPr>
          <w:rFonts w:ascii="Palatino Linotype" w:hAnsi="Palatino Linotype"/>
          <w:b/>
          <w:sz w:val="24"/>
          <w:szCs w:val="24"/>
          <w:u w:val="single"/>
        </w:rPr>
        <w:t xml:space="preserve">deve demonstrar o cumprimento de requisitos de </w:t>
      </w:r>
      <w:r w:rsidRPr="00D74A32">
        <w:rPr>
          <w:rFonts w:ascii="Palatino Linotype" w:hAnsi="Palatino Linotype"/>
          <w:b/>
          <w:sz w:val="24"/>
          <w:szCs w:val="24"/>
          <w:u w:val="single"/>
        </w:rPr>
        <w:lastRenderedPageBreak/>
        <w:t>natureza orçamentária, previstos no artigo 169, § 1º, da CF/88 e dos artigos 17, 20 e 22 da L</w:t>
      </w:r>
      <w:r w:rsidR="00102CC9" w:rsidRPr="00D74A32">
        <w:rPr>
          <w:rFonts w:ascii="Palatino Linotype" w:hAnsi="Palatino Linotype"/>
          <w:b/>
          <w:sz w:val="24"/>
          <w:szCs w:val="24"/>
          <w:u w:val="single"/>
        </w:rPr>
        <w:t>RF</w:t>
      </w:r>
      <w:r w:rsidRPr="002C1217">
        <w:rPr>
          <w:rFonts w:ascii="Palatino Linotype" w:hAnsi="Palatino Linotype"/>
          <w:sz w:val="24"/>
          <w:szCs w:val="24"/>
        </w:rPr>
        <w:t>.</w:t>
      </w:r>
    </w:p>
    <w:p w:rsidR="005214F9" w:rsidRPr="002C1217" w:rsidRDefault="005214F9" w:rsidP="005214F9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214F9" w:rsidRPr="002C1217" w:rsidRDefault="005214F9" w:rsidP="005214F9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2C1217">
        <w:rPr>
          <w:rFonts w:ascii="Palatino Linotype" w:hAnsi="Palatino Linotype"/>
          <w:sz w:val="24"/>
          <w:szCs w:val="24"/>
        </w:rPr>
        <w:t xml:space="preserve">Prevê o artigo 169, </w:t>
      </w:r>
      <w:r w:rsidRPr="002C1217">
        <w:rPr>
          <w:rFonts w:ascii="Palatino Linotype" w:hAnsi="Palatino Linotype"/>
          <w:i/>
          <w:sz w:val="24"/>
          <w:szCs w:val="24"/>
        </w:rPr>
        <w:t>caput</w:t>
      </w:r>
      <w:r w:rsidRPr="002C1217">
        <w:rPr>
          <w:rFonts w:ascii="Palatino Linotype" w:hAnsi="Palatino Linotype"/>
          <w:sz w:val="24"/>
          <w:szCs w:val="24"/>
        </w:rPr>
        <w:t xml:space="preserve"> e § 1º, da CF/88:</w:t>
      </w:r>
    </w:p>
    <w:p w:rsidR="005214F9" w:rsidRPr="002C1217" w:rsidRDefault="005214F9" w:rsidP="005214F9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214F9" w:rsidRPr="007B5B58" w:rsidRDefault="005214F9" w:rsidP="005214F9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t>Art. 169. A despesa com pessoal ativo e inativo da União, dos Est</w:t>
      </w:r>
      <w:r w:rsidRPr="007B5B58">
        <w:rPr>
          <w:rFonts w:ascii="Palatino Linotype" w:hAnsi="Palatino Linotype"/>
          <w:szCs w:val="24"/>
        </w:rPr>
        <w:t>a</w:t>
      </w:r>
      <w:r w:rsidRPr="007B5B58">
        <w:rPr>
          <w:rFonts w:ascii="Palatino Linotype" w:hAnsi="Palatino Linotype"/>
          <w:szCs w:val="24"/>
        </w:rPr>
        <w:t>dos, do Distrito Federal e dos Municípios não poderá exceder os lim</w:t>
      </w:r>
      <w:r w:rsidRPr="007B5B58">
        <w:rPr>
          <w:rFonts w:ascii="Palatino Linotype" w:hAnsi="Palatino Linotype"/>
          <w:szCs w:val="24"/>
        </w:rPr>
        <w:t>i</w:t>
      </w:r>
      <w:r w:rsidRPr="007B5B58">
        <w:rPr>
          <w:rFonts w:ascii="Palatino Linotype" w:hAnsi="Palatino Linotype"/>
          <w:szCs w:val="24"/>
        </w:rPr>
        <w:t>tes estabelecidos em lei complementar.</w:t>
      </w:r>
    </w:p>
    <w:p w:rsidR="005214F9" w:rsidRPr="007B5B58" w:rsidRDefault="005214F9" w:rsidP="005214F9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t xml:space="preserve">§ 1º A concessão de qualquer vantagem ou aumento de remuneração, </w:t>
      </w:r>
      <w:r w:rsidRPr="007B5B58">
        <w:rPr>
          <w:rFonts w:ascii="Palatino Linotype" w:hAnsi="Palatino Linotype"/>
          <w:b/>
          <w:szCs w:val="24"/>
        </w:rPr>
        <w:t>a criação de cargos, empregos e funções</w:t>
      </w:r>
      <w:r w:rsidRPr="007B5B58">
        <w:rPr>
          <w:rFonts w:ascii="Palatino Linotype" w:hAnsi="Palatino Linotype"/>
          <w:szCs w:val="24"/>
        </w:rPr>
        <w:t xml:space="preserve"> ou alteração de estrutura de carreiras, bem como a admissão ou contratação de pessoal, a qua</w:t>
      </w:r>
      <w:r w:rsidRPr="007B5B58">
        <w:rPr>
          <w:rFonts w:ascii="Palatino Linotype" w:hAnsi="Palatino Linotype"/>
          <w:szCs w:val="24"/>
        </w:rPr>
        <w:t>l</w:t>
      </w:r>
      <w:r w:rsidRPr="007B5B58">
        <w:rPr>
          <w:rFonts w:ascii="Palatino Linotype" w:hAnsi="Palatino Linotype"/>
          <w:szCs w:val="24"/>
        </w:rPr>
        <w:t>quer título, pelos órgãos e entidades da administração direta ou ind</w:t>
      </w:r>
      <w:r w:rsidRPr="007B5B58">
        <w:rPr>
          <w:rFonts w:ascii="Palatino Linotype" w:hAnsi="Palatino Linotype"/>
          <w:szCs w:val="24"/>
        </w:rPr>
        <w:t>i</w:t>
      </w:r>
      <w:r w:rsidRPr="007B5B58">
        <w:rPr>
          <w:rFonts w:ascii="Palatino Linotype" w:hAnsi="Palatino Linotype"/>
          <w:szCs w:val="24"/>
        </w:rPr>
        <w:t>reta, inclusive fundações instituídas e mantidas pelo poder público, só poderão ser feitas: (Renumerado do parágrafo único, pela Emenda Constitucional nº 19, de 1998)</w:t>
      </w:r>
    </w:p>
    <w:p w:rsidR="00252881" w:rsidRPr="007B5B58" w:rsidRDefault="005214F9" w:rsidP="00252881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t xml:space="preserve">I - </w:t>
      </w:r>
      <w:r w:rsidRPr="007B5B58">
        <w:rPr>
          <w:rFonts w:ascii="Palatino Linotype" w:hAnsi="Palatino Linotype"/>
          <w:b/>
          <w:szCs w:val="24"/>
        </w:rPr>
        <w:t>se houver prévia dotação orçamentária suficiente para atender às projeções de despesa de pessoal e aos acréscimos dela decorrentes;</w:t>
      </w:r>
      <w:r w:rsidRPr="007B5B58">
        <w:rPr>
          <w:rFonts w:ascii="Palatino Linotype" w:hAnsi="Palatino Linotype"/>
          <w:szCs w:val="24"/>
        </w:rPr>
        <w:t xml:space="preserve"> (Incluído pela Emenda Constitucional nº 19, de 1998)</w:t>
      </w:r>
    </w:p>
    <w:p w:rsidR="005214F9" w:rsidRPr="007B5B58" w:rsidRDefault="005214F9" w:rsidP="00252881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t xml:space="preserve">II - se houver </w:t>
      </w:r>
      <w:r w:rsidRPr="007B5B58">
        <w:rPr>
          <w:rFonts w:ascii="Palatino Linotype" w:hAnsi="Palatino Linotype"/>
          <w:b/>
          <w:szCs w:val="24"/>
        </w:rPr>
        <w:t>autorização específica na lei de diretrizes orçament</w:t>
      </w:r>
      <w:r w:rsidRPr="007B5B58">
        <w:rPr>
          <w:rFonts w:ascii="Palatino Linotype" w:hAnsi="Palatino Linotype"/>
          <w:b/>
          <w:szCs w:val="24"/>
        </w:rPr>
        <w:t>á</w:t>
      </w:r>
      <w:r w:rsidRPr="007B5B58">
        <w:rPr>
          <w:rFonts w:ascii="Palatino Linotype" w:hAnsi="Palatino Linotype"/>
          <w:b/>
          <w:szCs w:val="24"/>
        </w:rPr>
        <w:t>rias</w:t>
      </w:r>
      <w:r w:rsidRPr="007B5B58">
        <w:rPr>
          <w:rFonts w:ascii="Palatino Linotype" w:hAnsi="Palatino Linotype"/>
          <w:szCs w:val="24"/>
        </w:rPr>
        <w:t>, ressalvadas as empresas públicas e as sociedades de economia mista. (Incluído pela Emenda Constitucional nº 19, de 1998)</w:t>
      </w:r>
    </w:p>
    <w:p w:rsidR="005214F9" w:rsidRPr="002C1217" w:rsidRDefault="005214F9" w:rsidP="007B3F7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153FA" w:rsidRPr="002C1217" w:rsidRDefault="00C25250" w:rsidP="009153FA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u w:val="single"/>
        </w:rPr>
        <w:t>V</w:t>
      </w:r>
      <w:r w:rsidR="009153FA" w:rsidRPr="00DC7221">
        <w:rPr>
          <w:rFonts w:ascii="Palatino Linotype" w:hAnsi="Palatino Linotype"/>
          <w:b/>
          <w:sz w:val="24"/>
          <w:szCs w:val="24"/>
          <w:u w:val="single"/>
        </w:rPr>
        <w:t>erificou-se na proposição a devida estimativa de impacto orçamentário e financeiro comprovando que há recursos suficientes para o atendimento da de</w:t>
      </w:r>
      <w:r w:rsidR="009153FA" w:rsidRPr="00DC7221">
        <w:rPr>
          <w:rFonts w:ascii="Palatino Linotype" w:hAnsi="Palatino Linotype"/>
          <w:b/>
          <w:sz w:val="24"/>
          <w:szCs w:val="24"/>
          <w:u w:val="single"/>
        </w:rPr>
        <w:t>s</w:t>
      </w:r>
      <w:r w:rsidR="009153FA" w:rsidRPr="00DC7221">
        <w:rPr>
          <w:rFonts w:ascii="Palatino Linotype" w:hAnsi="Palatino Linotype"/>
          <w:b/>
          <w:sz w:val="24"/>
          <w:szCs w:val="24"/>
          <w:u w:val="single"/>
        </w:rPr>
        <w:t>pesa.</w:t>
      </w:r>
      <w:r w:rsidR="009153FA" w:rsidRPr="002C1217">
        <w:rPr>
          <w:rFonts w:ascii="Palatino Linotype" w:hAnsi="Palatino Linotype"/>
          <w:sz w:val="24"/>
          <w:szCs w:val="24"/>
        </w:rPr>
        <w:t xml:space="preserve"> A</w:t>
      </w:r>
      <w:r w:rsidR="00B5723B">
        <w:rPr>
          <w:rFonts w:ascii="Palatino Linotype" w:hAnsi="Palatino Linotype"/>
          <w:sz w:val="24"/>
          <w:szCs w:val="24"/>
        </w:rPr>
        <w:t>ssim, a ausência d</w:t>
      </w:r>
      <w:r w:rsidR="009153FA" w:rsidRPr="002C1217">
        <w:rPr>
          <w:rFonts w:ascii="Palatino Linotype" w:hAnsi="Palatino Linotype"/>
          <w:sz w:val="24"/>
          <w:szCs w:val="24"/>
        </w:rPr>
        <w:t>a estimativa do impacto orçamentário e financeiro</w:t>
      </w:r>
      <w:r w:rsidR="00B5723B">
        <w:rPr>
          <w:rFonts w:ascii="Palatino Linotype" w:hAnsi="Palatino Linotype"/>
          <w:sz w:val="24"/>
          <w:szCs w:val="24"/>
        </w:rPr>
        <w:t xml:space="preserve"> permite que esteja </w:t>
      </w:r>
      <w:r w:rsidR="009153FA" w:rsidRPr="002C1217">
        <w:rPr>
          <w:rFonts w:ascii="Palatino Linotype" w:hAnsi="Palatino Linotype"/>
          <w:sz w:val="24"/>
          <w:szCs w:val="24"/>
        </w:rPr>
        <w:t>contempla</w:t>
      </w:r>
      <w:r w:rsidR="00B5723B">
        <w:rPr>
          <w:rFonts w:ascii="Palatino Linotype" w:hAnsi="Palatino Linotype"/>
          <w:sz w:val="24"/>
          <w:szCs w:val="24"/>
        </w:rPr>
        <w:t>da</w:t>
      </w:r>
      <w:r w:rsidR="009153FA" w:rsidRPr="002C1217">
        <w:rPr>
          <w:rFonts w:ascii="Palatino Linotype" w:hAnsi="Palatino Linotype"/>
          <w:sz w:val="24"/>
          <w:szCs w:val="24"/>
        </w:rPr>
        <w:t xml:space="preserve"> a previsão da classificação orçamentária por onde correrá a despesa, </w:t>
      </w:r>
      <w:r w:rsidR="00941F9C">
        <w:rPr>
          <w:rFonts w:ascii="Palatino Linotype" w:hAnsi="Palatino Linotype"/>
          <w:sz w:val="24"/>
          <w:szCs w:val="24"/>
        </w:rPr>
        <w:t>bem como</w:t>
      </w:r>
      <w:r w:rsidR="001D360D">
        <w:rPr>
          <w:rFonts w:ascii="Palatino Linotype" w:hAnsi="Palatino Linotype"/>
          <w:sz w:val="24"/>
          <w:szCs w:val="24"/>
        </w:rPr>
        <w:t xml:space="preserve"> a </w:t>
      </w:r>
      <w:r w:rsidR="009153FA" w:rsidRPr="002C1217">
        <w:rPr>
          <w:rFonts w:ascii="Palatino Linotype" w:hAnsi="Palatino Linotype"/>
          <w:sz w:val="24"/>
          <w:szCs w:val="24"/>
        </w:rPr>
        <w:t>declaração de que há previsão da despesa no orçamento e na programação financeira</w:t>
      </w:r>
      <w:r w:rsidR="00056A86">
        <w:rPr>
          <w:rFonts w:ascii="Palatino Linotype" w:hAnsi="Palatino Linotype"/>
          <w:sz w:val="24"/>
          <w:szCs w:val="24"/>
        </w:rPr>
        <w:t xml:space="preserve"> e</w:t>
      </w:r>
      <w:r w:rsidR="00B5723B">
        <w:rPr>
          <w:rFonts w:ascii="Palatino Linotype" w:hAnsi="Palatino Linotype"/>
          <w:sz w:val="24"/>
          <w:szCs w:val="24"/>
        </w:rPr>
        <w:t xml:space="preserve"> a</w:t>
      </w:r>
      <w:r w:rsidR="009153FA" w:rsidRPr="002C1217">
        <w:rPr>
          <w:rFonts w:ascii="Palatino Linotype" w:hAnsi="Palatino Linotype"/>
          <w:sz w:val="24"/>
          <w:szCs w:val="24"/>
        </w:rPr>
        <w:t xml:space="preserve"> demonstração do impacto no exercício corrente e nos dois posteriores, indicação dos percentuais de despesa e declaração de compatibilidade com as metas fiscais.</w:t>
      </w:r>
      <w:r w:rsidR="00102CC9" w:rsidRPr="002C1217">
        <w:rPr>
          <w:rFonts w:ascii="Palatino Linotype" w:hAnsi="Palatino Linotype"/>
          <w:sz w:val="24"/>
          <w:szCs w:val="24"/>
        </w:rPr>
        <w:t xml:space="preserve"> </w:t>
      </w:r>
      <w:r w:rsidR="009153FA" w:rsidRPr="002C1217">
        <w:rPr>
          <w:rFonts w:ascii="Palatino Linotype" w:hAnsi="Palatino Linotype"/>
          <w:sz w:val="24"/>
          <w:szCs w:val="24"/>
        </w:rPr>
        <w:t>Na Lei de Responsabilidade Fiscal, preceituam os artigos 15 e 16, inc. I e II:</w:t>
      </w:r>
    </w:p>
    <w:p w:rsidR="009153FA" w:rsidRPr="002C1217" w:rsidRDefault="009153FA" w:rsidP="009153FA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153FA" w:rsidRPr="007B5B58" w:rsidRDefault="009153FA" w:rsidP="009153FA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lastRenderedPageBreak/>
        <w:t xml:space="preserve">Art. 15. Serão consideradas não autorizadas, irregulares e lesivas ao patrimônio público a </w:t>
      </w:r>
      <w:r w:rsidRPr="007B5B58">
        <w:rPr>
          <w:rFonts w:ascii="Palatino Linotype" w:hAnsi="Palatino Linotype"/>
          <w:b/>
          <w:szCs w:val="24"/>
        </w:rPr>
        <w:t>geração de despesa ou assunção de obrigação que não atendam o disposto nos arts. 16 e 17</w:t>
      </w:r>
      <w:r w:rsidRPr="007B5B58">
        <w:rPr>
          <w:rFonts w:ascii="Palatino Linotype" w:hAnsi="Palatino Linotype"/>
          <w:szCs w:val="24"/>
        </w:rPr>
        <w:t>.</w:t>
      </w:r>
    </w:p>
    <w:p w:rsidR="009153FA" w:rsidRPr="007B5B58" w:rsidRDefault="009153FA" w:rsidP="009153FA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</w:p>
    <w:p w:rsidR="009153FA" w:rsidRPr="007B5B58" w:rsidRDefault="009153FA" w:rsidP="009153FA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t>Art. 16. A criação, expansão ou aperfeiçoamento de ação govern</w:t>
      </w:r>
      <w:r w:rsidRPr="007B5B58">
        <w:rPr>
          <w:rFonts w:ascii="Palatino Linotype" w:hAnsi="Palatino Linotype"/>
          <w:szCs w:val="24"/>
        </w:rPr>
        <w:t>a</w:t>
      </w:r>
      <w:r w:rsidRPr="007B5B58">
        <w:rPr>
          <w:rFonts w:ascii="Palatino Linotype" w:hAnsi="Palatino Linotype"/>
          <w:szCs w:val="24"/>
        </w:rPr>
        <w:t>mental que acarrete aumento da despesa será acompanhado de:</w:t>
      </w:r>
    </w:p>
    <w:p w:rsidR="009153FA" w:rsidRPr="007B5B58" w:rsidRDefault="009153FA" w:rsidP="009153FA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t xml:space="preserve">I - </w:t>
      </w:r>
      <w:r w:rsidRPr="007B5B58">
        <w:rPr>
          <w:rFonts w:ascii="Palatino Linotype" w:hAnsi="Palatino Linotype"/>
          <w:b/>
          <w:szCs w:val="24"/>
        </w:rPr>
        <w:t>estimativa do impacto orçamentário-financeiro</w:t>
      </w:r>
      <w:r w:rsidRPr="007B5B58">
        <w:rPr>
          <w:rFonts w:ascii="Palatino Linotype" w:hAnsi="Palatino Linotype"/>
          <w:szCs w:val="24"/>
        </w:rPr>
        <w:t xml:space="preserve"> no exercício em que deva entrar em vigor e nos dois subsequentes;</w:t>
      </w:r>
    </w:p>
    <w:p w:rsidR="009153FA" w:rsidRPr="002C1217" w:rsidRDefault="009153FA" w:rsidP="009153FA">
      <w:pPr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  <w:r w:rsidRPr="007B5B58">
        <w:rPr>
          <w:rFonts w:ascii="Palatino Linotype" w:hAnsi="Palatino Linotype"/>
          <w:szCs w:val="24"/>
        </w:rPr>
        <w:t xml:space="preserve">II - </w:t>
      </w:r>
      <w:r w:rsidRPr="007B5B58">
        <w:rPr>
          <w:rFonts w:ascii="Palatino Linotype" w:hAnsi="Palatino Linotype"/>
          <w:b/>
          <w:szCs w:val="24"/>
        </w:rPr>
        <w:t>declaração do ordenador da despesa de que o aumento tem ad</w:t>
      </w:r>
      <w:r w:rsidRPr="007B5B58">
        <w:rPr>
          <w:rFonts w:ascii="Palatino Linotype" w:hAnsi="Palatino Linotype"/>
          <w:b/>
          <w:szCs w:val="24"/>
        </w:rPr>
        <w:t>e</w:t>
      </w:r>
      <w:r w:rsidRPr="007B5B58">
        <w:rPr>
          <w:rFonts w:ascii="Palatino Linotype" w:hAnsi="Palatino Linotype"/>
          <w:b/>
          <w:szCs w:val="24"/>
        </w:rPr>
        <w:t>quação orçamentária e financeira com a lei orçamentária anual e compatibilidade com o plano plurianual e com a lei de diretrizes orçamentárias.</w:t>
      </w:r>
    </w:p>
    <w:p w:rsidR="009153FA" w:rsidRPr="002C1217" w:rsidRDefault="009153FA" w:rsidP="009153FA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153FA" w:rsidRPr="002C1217" w:rsidRDefault="009153FA" w:rsidP="009153FA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2C1217">
        <w:rPr>
          <w:rFonts w:ascii="Palatino Linotype" w:hAnsi="Palatino Linotype"/>
          <w:sz w:val="24"/>
          <w:szCs w:val="24"/>
        </w:rPr>
        <w:t>Preceitua, também, o artigo 17 da LC nº 101/00:</w:t>
      </w:r>
    </w:p>
    <w:p w:rsidR="009153FA" w:rsidRPr="002C1217" w:rsidRDefault="009153FA" w:rsidP="009153FA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153FA" w:rsidRPr="007B5B58" w:rsidRDefault="009153FA" w:rsidP="009153FA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t xml:space="preserve">Art. 17. Considera-se obrigatória de caráter continuado </w:t>
      </w:r>
      <w:r w:rsidRPr="007B5B58">
        <w:rPr>
          <w:rFonts w:ascii="Palatino Linotype" w:hAnsi="Palatino Linotype"/>
          <w:b/>
          <w:szCs w:val="24"/>
        </w:rPr>
        <w:t>a despesa corrente derivada de lei</w:t>
      </w:r>
      <w:r w:rsidRPr="007B5B58">
        <w:rPr>
          <w:rFonts w:ascii="Palatino Linotype" w:hAnsi="Palatino Linotype"/>
          <w:szCs w:val="24"/>
        </w:rPr>
        <w:t xml:space="preserve">, medida provisória ou ato administrativo normativo que fixem para o ente a obrigação legal de sua execução por um </w:t>
      </w:r>
      <w:r w:rsidRPr="007B5B58">
        <w:rPr>
          <w:rFonts w:ascii="Palatino Linotype" w:hAnsi="Palatino Linotype"/>
          <w:b/>
          <w:szCs w:val="24"/>
        </w:rPr>
        <w:t>período superior a dois exercícios.</w:t>
      </w:r>
    </w:p>
    <w:p w:rsidR="009153FA" w:rsidRPr="007B5B58" w:rsidRDefault="009153FA" w:rsidP="009153FA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t xml:space="preserve">§ 1º </w:t>
      </w:r>
      <w:r w:rsidRPr="007B5B58">
        <w:rPr>
          <w:rFonts w:ascii="Palatino Linotype" w:hAnsi="Palatino Linotype"/>
          <w:b/>
          <w:szCs w:val="24"/>
        </w:rPr>
        <w:t>Os atos que criarem ou aumentarem despesa de que trata o c</w:t>
      </w:r>
      <w:r w:rsidRPr="007B5B58">
        <w:rPr>
          <w:rFonts w:ascii="Palatino Linotype" w:hAnsi="Palatino Linotype"/>
          <w:b/>
          <w:szCs w:val="24"/>
        </w:rPr>
        <w:t>a</w:t>
      </w:r>
      <w:r w:rsidRPr="007B5B58">
        <w:rPr>
          <w:rFonts w:ascii="Palatino Linotype" w:hAnsi="Palatino Linotype"/>
          <w:b/>
          <w:szCs w:val="24"/>
        </w:rPr>
        <w:t>put deverão ser instruídos com a estimativa prevista no inciso I do art. 16 e demonstrar a origem dos recursos para seu custeio.</w:t>
      </w:r>
    </w:p>
    <w:p w:rsidR="009153FA" w:rsidRPr="007B5B58" w:rsidRDefault="009153FA" w:rsidP="009153FA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t xml:space="preserve">§ 2º </w:t>
      </w:r>
      <w:r w:rsidRPr="007B5B58">
        <w:rPr>
          <w:rFonts w:ascii="Palatino Linotype" w:hAnsi="Palatino Linotype"/>
          <w:b/>
          <w:szCs w:val="24"/>
        </w:rPr>
        <w:t>Para efeito do atendimento do § 1º, o ato será acompanhado de comprovação de que a despesa criada ou aumentada não afetará as metas de resultados fiscais</w:t>
      </w:r>
      <w:r w:rsidRPr="007B5B58">
        <w:rPr>
          <w:rFonts w:ascii="Palatino Linotype" w:hAnsi="Palatino Linotype"/>
          <w:szCs w:val="24"/>
        </w:rPr>
        <w:t xml:space="preserve"> previstas no anexo referido no § 1º do art. 4º, devendo seus efeitos financeiros, nos períodos seguintes, ser co</w:t>
      </w:r>
      <w:r w:rsidRPr="007B5B58">
        <w:rPr>
          <w:rFonts w:ascii="Palatino Linotype" w:hAnsi="Palatino Linotype"/>
          <w:szCs w:val="24"/>
        </w:rPr>
        <w:t>m</w:t>
      </w:r>
      <w:r w:rsidRPr="007B5B58">
        <w:rPr>
          <w:rFonts w:ascii="Palatino Linotype" w:hAnsi="Palatino Linotype"/>
          <w:szCs w:val="24"/>
        </w:rPr>
        <w:t>pensados pelo aumento permanente de receita ou pela redução pe</w:t>
      </w:r>
      <w:r w:rsidRPr="007B5B58">
        <w:rPr>
          <w:rFonts w:ascii="Palatino Linotype" w:hAnsi="Palatino Linotype"/>
          <w:szCs w:val="24"/>
        </w:rPr>
        <w:t>r</w:t>
      </w:r>
      <w:r w:rsidRPr="007B5B58">
        <w:rPr>
          <w:rFonts w:ascii="Palatino Linotype" w:hAnsi="Palatino Linotype"/>
          <w:szCs w:val="24"/>
        </w:rPr>
        <w:t>manente de despesa.</w:t>
      </w:r>
    </w:p>
    <w:p w:rsidR="009153FA" w:rsidRPr="007B5B58" w:rsidRDefault="009153FA" w:rsidP="009153FA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t>§ 3º Para efeito do § 2º, considera-se aumento permanente de receita o proveniente da elevação de alíquotas, ampliação da base de cálculo, majoração ou criação de tributo ou contribuição.</w:t>
      </w:r>
    </w:p>
    <w:p w:rsidR="009153FA" w:rsidRPr="007B5B58" w:rsidRDefault="009153FA" w:rsidP="009153FA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t xml:space="preserve">§ 4º A comprovação referida no § 2º, apresentada pelo proponente, </w:t>
      </w:r>
      <w:r w:rsidRPr="007B5B58">
        <w:rPr>
          <w:rFonts w:ascii="Palatino Linotype" w:hAnsi="Palatino Linotype"/>
          <w:b/>
          <w:szCs w:val="24"/>
        </w:rPr>
        <w:t>conterá as premissas e metodologia de cálculo utilizadas</w:t>
      </w:r>
      <w:r w:rsidRPr="007B5B58">
        <w:rPr>
          <w:rFonts w:ascii="Palatino Linotype" w:hAnsi="Palatino Linotype"/>
          <w:szCs w:val="24"/>
        </w:rPr>
        <w:t>, sem prej</w:t>
      </w:r>
      <w:r w:rsidRPr="007B5B58">
        <w:rPr>
          <w:rFonts w:ascii="Palatino Linotype" w:hAnsi="Palatino Linotype"/>
          <w:szCs w:val="24"/>
        </w:rPr>
        <w:t>u</w:t>
      </w:r>
      <w:r w:rsidRPr="007B5B58">
        <w:rPr>
          <w:rFonts w:ascii="Palatino Linotype" w:hAnsi="Palatino Linotype"/>
          <w:szCs w:val="24"/>
        </w:rPr>
        <w:t>ízo do exame de compatibilidade da despesa com as demais normas do plano plurianual e da lei de diretrizes orçamentárias.</w:t>
      </w:r>
    </w:p>
    <w:p w:rsidR="009153FA" w:rsidRPr="007B5B58" w:rsidRDefault="009153FA" w:rsidP="009153FA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t>§ 5º A despesa de que trata este artigo não será executada antes da implementação das medidas referidas no § 2º, as quais integrarão o instrumento que a criar ou aumentar.</w:t>
      </w:r>
    </w:p>
    <w:p w:rsidR="009153FA" w:rsidRPr="007B5B58" w:rsidRDefault="009153FA" w:rsidP="009153FA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t>§ 6º O disposto no § 1º não se aplica às despesas destinadas ao serviço da dívida nem ao reajustamento de remuneração de pessoal de que trata o inciso X do art. 37 da Constituição.</w:t>
      </w:r>
    </w:p>
    <w:p w:rsidR="009153FA" w:rsidRPr="007B5B58" w:rsidRDefault="009153FA" w:rsidP="009153FA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lastRenderedPageBreak/>
        <w:t>§ 7º Considera-se aumento de despesa a prorrogação daquela criada por prazo determinado.</w:t>
      </w:r>
    </w:p>
    <w:p w:rsidR="009153FA" w:rsidRPr="002C1217" w:rsidRDefault="009153FA" w:rsidP="009153FA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153FA" w:rsidRDefault="009153FA" w:rsidP="009153FA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1D360D">
        <w:rPr>
          <w:rFonts w:ascii="Palatino Linotype" w:hAnsi="Palatino Linotype"/>
          <w:b/>
          <w:sz w:val="24"/>
          <w:szCs w:val="24"/>
          <w:u w:val="single"/>
        </w:rPr>
        <w:t>Assim, constata-se que foi apresentada a estimativa de impacto orç</w:t>
      </w:r>
      <w:r w:rsidRPr="001D360D">
        <w:rPr>
          <w:rFonts w:ascii="Palatino Linotype" w:hAnsi="Palatino Linotype"/>
          <w:b/>
          <w:sz w:val="24"/>
          <w:szCs w:val="24"/>
          <w:u w:val="single"/>
        </w:rPr>
        <w:t>a</w:t>
      </w:r>
      <w:r w:rsidRPr="001D360D">
        <w:rPr>
          <w:rFonts w:ascii="Palatino Linotype" w:hAnsi="Palatino Linotype"/>
          <w:b/>
          <w:sz w:val="24"/>
          <w:szCs w:val="24"/>
          <w:u w:val="single"/>
        </w:rPr>
        <w:t>mentário e financeiro com a demonstração da origem dos recursos para o seu cu</w:t>
      </w:r>
      <w:r w:rsidRPr="001D360D">
        <w:rPr>
          <w:rFonts w:ascii="Palatino Linotype" w:hAnsi="Palatino Linotype"/>
          <w:b/>
          <w:sz w:val="24"/>
          <w:szCs w:val="24"/>
          <w:u w:val="single"/>
        </w:rPr>
        <w:t>s</w:t>
      </w:r>
      <w:r w:rsidRPr="001D360D">
        <w:rPr>
          <w:rFonts w:ascii="Palatino Linotype" w:hAnsi="Palatino Linotype"/>
          <w:b/>
          <w:sz w:val="24"/>
          <w:szCs w:val="24"/>
          <w:u w:val="single"/>
        </w:rPr>
        <w:t>teio.</w:t>
      </w:r>
      <w:r w:rsidRPr="00190E3A">
        <w:rPr>
          <w:rFonts w:ascii="Palatino Linotype" w:hAnsi="Palatino Linotype"/>
          <w:sz w:val="24"/>
          <w:szCs w:val="24"/>
        </w:rPr>
        <w:t xml:space="preserve"> </w:t>
      </w:r>
      <w:r w:rsidRPr="002C1217">
        <w:rPr>
          <w:rFonts w:ascii="Palatino Linotype" w:hAnsi="Palatino Linotype"/>
          <w:sz w:val="24"/>
          <w:szCs w:val="24"/>
        </w:rPr>
        <w:t>Ainda, o documento</w:t>
      </w:r>
      <w:r w:rsidR="006D247A">
        <w:rPr>
          <w:rFonts w:ascii="Palatino Linotype" w:hAnsi="Palatino Linotype"/>
          <w:sz w:val="24"/>
          <w:szCs w:val="24"/>
        </w:rPr>
        <w:t xml:space="preserve"> permite</w:t>
      </w:r>
      <w:r w:rsidRPr="002C1217">
        <w:rPr>
          <w:rFonts w:ascii="Palatino Linotype" w:hAnsi="Palatino Linotype"/>
          <w:sz w:val="24"/>
          <w:szCs w:val="24"/>
        </w:rPr>
        <w:t xml:space="preserve"> demonstra</w:t>
      </w:r>
      <w:r w:rsidR="006D247A">
        <w:rPr>
          <w:rFonts w:ascii="Palatino Linotype" w:hAnsi="Palatino Linotype"/>
          <w:sz w:val="24"/>
          <w:szCs w:val="24"/>
        </w:rPr>
        <w:t>r</w:t>
      </w:r>
      <w:r w:rsidRPr="002C1217">
        <w:rPr>
          <w:rFonts w:ascii="Palatino Linotype" w:hAnsi="Palatino Linotype"/>
          <w:sz w:val="24"/>
          <w:szCs w:val="24"/>
        </w:rPr>
        <w:t xml:space="preserve"> a compatibilidade com as metas de resultados fiscais. </w:t>
      </w:r>
    </w:p>
    <w:p w:rsidR="0058533A" w:rsidRPr="002C1217" w:rsidRDefault="0058533A" w:rsidP="009153FA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153FA" w:rsidRPr="002C1217" w:rsidRDefault="009153FA" w:rsidP="009153FA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2C1217">
        <w:rPr>
          <w:rFonts w:ascii="Palatino Linotype" w:hAnsi="Palatino Linotype"/>
          <w:sz w:val="24"/>
          <w:szCs w:val="24"/>
        </w:rPr>
        <w:t>No sentido da necessidade de demonstração das premissas e da metod</w:t>
      </w:r>
      <w:r w:rsidRPr="002C1217">
        <w:rPr>
          <w:rFonts w:ascii="Palatino Linotype" w:hAnsi="Palatino Linotype"/>
          <w:sz w:val="24"/>
          <w:szCs w:val="24"/>
        </w:rPr>
        <w:t>o</w:t>
      </w:r>
      <w:r w:rsidRPr="002C1217">
        <w:rPr>
          <w:rFonts w:ascii="Palatino Linotype" w:hAnsi="Palatino Linotype"/>
          <w:sz w:val="24"/>
          <w:szCs w:val="24"/>
        </w:rPr>
        <w:t>logia de cálculo utilizada, veja-se o acórdão nº 883/2005 do TCU:</w:t>
      </w:r>
    </w:p>
    <w:p w:rsidR="009153FA" w:rsidRPr="002C1217" w:rsidRDefault="009153FA" w:rsidP="009153FA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153FA" w:rsidRPr="007B5B58" w:rsidRDefault="009153FA" w:rsidP="009153FA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t>Quando houver criação, expansão, aperfeiçoamento de ações gove</w:t>
      </w:r>
      <w:r w:rsidRPr="007B5B58">
        <w:rPr>
          <w:rFonts w:ascii="Palatino Linotype" w:hAnsi="Palatino Linotype"/>
          <w:szCs w:val="24"/>
        </w:rPr>
        <w:t>r</w:t>
      </w:r>
      <w:r w:rsidRPr="007B5B58">
        <w:rPr>
          <w:rFonts w:ascii="Palatino Linotype" w:hAnsi="Palatino Linotype"/>
          <w:szCs w:val="24"/>
        </w:rPr>
        <w:t>namentais (estaduais ou municipais) que resultem no aumento de despesa, estas só podem ser instituídas se atendidos os seguintes r</w:t>
      </w:r>
      <w:r w:rsidRPr="007B5B58">
        <w:rPr>
          <w:rFonts w:ascii="Palatino Linotype" w:hAnsi="Palatino Linotype"/>
          <w:szCs w:val="24"/>
        </w:rPr>
        <w:t>e</w:t>
      </w:r>
      <w:r w:rsidRPr="007B5B58">
        <w:rPr>
          <w:rFonts w:ascii="Palatino Linotype" w:hAnsi="Palatino Linotype"/>
          <w:szCs w:val="24"/>
        </w:rPr>
        <w:t>quisitos:</w:t>
      </w:r>
      <w:r w:rsidRPr="007B5B58">
        <w:rPr>
          <w:rFonts w:ascii="Palatino Linotype" w:hAnsi="Palatino Linotype"/>
          <w:szCs w:val="24"/>
        </w:rPr>
        <w:cr/>
        <w:t>[...]</w:t>
      </w:r>
    </w:p>
    <w:p w:rsidR="007B3F7D" w:rsidRPr="007B5B58" w:rsidRDefault="009153FA" w:rsidP="009153FA">
      <w:pPr>
        <w:spacing w:after="0" w:line="240" w:lineRule="auto"/>
        <w:ind w:left="2268"/>
        <w:jc w:val="both"/>
        <w:rPr>
          <w:rFonts w:ascii="Palatino Linotype" w:hAnsi="Palatino Linotype"/>
          <w:szCs w:val="24"/>
        </w:rPr>
      </w:pPr>
      <w:r w:rsidRPr="007B5B58">
        <w:rPr>
          <w:rFonts w:ascii="Palatino Linotype" w:hAnsi="Palatino Linotype"/>
          <w:szCs w:val="24"/>
        </w:rPr>
        <w:t>4) parâmetros (premissas) e metodologia de cálculo utilizada para e</w:t>
      </w:r>
      <w:r w:rsidRPr="007B5B58">
        <w:rPr>
          <w:rFonts w:ascii="Palatino Linotype" w:hAnsi="Palatino Linotype"/>
          <w:szCs w:val="24"/>
        </w:rPr>
        <w:t>s</w:t>
      </w:r>
      <w:r w:rsidRPr="007B5B58">
        <w:rPr>
          <w:rFonts w:ascii="Palatino Linotype" w:hAnsi="Palatino Linotype"/>
          <w:szCs w:val="24"/>
        </w:rPr>
        <w:t>timativas de gastos com cada criação, expansão ou aperfeiçoamento da ação governamental. Este documento deve ser claro, motivado e explicativo, de modo a evidenciar de forma realista as previsões de custo e seja confiável, ficando sujeito à avaliação dos resultados pelo controle interno e externo. Esses elementos devem acompanhar a proposta de criação, expansão ou aperfeiçoamento da ação de gove</w:t>
      </w:r>
      <w:r w:rsidRPr="007B5B58">
        <w:rPr>
          <w:rFonts w:ascii="Palatino Linotype" w:hAnsi="Palatino Linotype"/>
          <w:szCs w:val="24"/>
        </w:rPr>
        <w:t>r</w:t>
      </w:r>
      <w:r w:rsidRPr="007B5B58">
        <w:rPr>
          <w:rFonts w:ascii="Palatino Linotype" w:hAnsi="Palatino Linotype"/>
          <w:szCs w:val="24"/>
        </w:rPr>
        <w:t>no quando for necessária a aprovação legislativa. As regras se apl</w:t>
      </w:r>
      <w:r w:rsidRPr="007B5B58">
        <w:rPr>
          <w:rFonts w:ascii="Palatino Linotype" w:hAnsi="Palatino Linotype"/>
          <w:szCs w:val="24"/>
        </w:rPr>
        <w:t>i</w:t>
      </w:r>
      <w:r w:rsidRPr="007B5B58">
        <w:rPr>
          <w:rFonts w:ascii="Palatino Linotype" w:hAnsi="Palatino Linotype"/>
          <w:szCs w:val="24"/>
        </w:rPr>
        <w:t>cam a todos os poderes e órgãos constitucionais. Sem o atendimento a essas exigências sequer poderá ser iniciado o processo licitatório (§ 4º do art. 16) para contratação de obras, serviços e fornecimentos rel</w:t>
      </w:r>
      <w:r w:rsidRPr="007B5B58">
        <w:rPr>
          <w:rFonts w:ascii="Palatino Linotype" w:hAnsi="Palatino Linotype"/>
          <w:szCs w:val="24"/>
        </w:rPr>
        <w:t>a</w:t>
      </w:r>
      <w:r w:rsidRPr="007B5B58">
        <w:rPr>
          <w:rFonts w:ascii="Palatino Linotype" w:hAnsi="Palatino Linotype"/>
          <w:szCs w:val="24"/>
        </w:rPr>
        <w:t>cionados ao implemento da ação governamental.</w:t>
      </w:r>
    </w:p>
    <w:p w:rsidR="00843C53" w:rsidRDefault="00843C53" w:rsidP="005B3095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43C53" w:rsidRDefault="00843C53" w:rsidP="00843C5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0226B">
        <w:rPr>
          <w:rFonts w:ascii="Palatino Linotype" w:hAnsi="Palatino Linotype"/>
          <w:sz w:val="24"/>
          <w:szCs w:val="24"/>
        </w:rPr>
        <w:t>Portanto, tem-se por cumpridas as exigências de caráter financeiro para a aprovação do Projeto de Lei</w:t>
      </w:r>
      <w:r>
        <w:rPr>
          <w:rFonts w:ascii="Palatino Linotype" w:hAnsi="Palatino Linotype"/>
          <w:sz w:val="24"/>
          <w:szCs w:val="24"/>
        </w:rPr>
        <w:t xml:space="preserve"> do Executivo</w:t>
      </w:r>
      <w:r w:rsidRPr="0090226B">
        <w:rPr>
          <w:rFonts w:ascii="Palatino Linotype" w:hAnsi="Palatino Linotype"/>
          <w:sz w:val="24"/>
          <w:szCs w:val="24"/>
        </w:rPr>
        <w:t xml:space="preserve"> nº 0</w:t>
      </w:r>
      <w:r w:rsidR="00041C0B">
        <w:rPr>
          <w:rFonts w:ascii="Palatino Linotype" w:hAnsi="Palatino Linotype"/>
          <w:sz w:val="24"/>
          <w:szCs w:val="24"/>
        </w:rPr>
        <w:t>71</w:t>
      </w:r>
      <w:r w:rsidRPr="0090226B">
        <w:rPr>
          <w:rFonts w:ascii="Palatino Linotype" w:hAnsi="Palatino Linotype"/>
          <w:sz w:val="24"/>
          <w:szCs w:val="24"/>
        </w:rPr>
        <w:t>/20</w:t>
      </w:r>
      <w:r>
        <w:rPr>
          <w:rFonts w:ascii="Palatino Linotype" w:hAnsi="Palatino Linotype"/>
          <w:sz w:val="24"/>
          <w:szCs w:val="24"/>
        </w:rPr>
        <w:t>2</w:t>
      </w:r>
      <w:r w:rsidR="00041C0B">
        <w:rPr>
          <w:rFonts w:ascii="Palatino Linotype" w:hAnsi="Palatino Linotype"/>
          <w:sz w:val="24"/>
          <w:szCs w:val="24"/>
        </w:rPr>
        <w:t xml:space="preserve">3, </w:t>
      </w:r>
      <w:r w:rsidR="00B17BDC">
        <w:rPr>
          <w:rFonts w:ascii="Palatino Linotype" w:hAnsi="Palatino Linotype"/>
          <w:sz w:val="24"/>
          <w:szCs w:val="24"/>
        </w:rPr>
        <w:t>visto que ademais foi aprese</w:t>
      </w:r>
      <w:r w:rsidR="00B17BDC">
        <w:rPr>
          <w:rFonts w:ascii="Palatino Linotype" w:hAnsi="Palatino Linotype"/>
          <w:sz w:val="24"/>
          <w:szCs w:val="24"/>
        </w:rPr>
        <w:t>n</w:t>
      </w:r>
      <w:r w:rsidR="00B17BDC">
        <w:rPr>
          <w:rFonts w:ascii="Palatino Linotype" w:hAnsi="Palatino Linotype"/>
          <w:sz w:val="24"/>
          <w:szCs w:val="24"/>
        </w:rPr>
        <w:t>tado novo impacto</w:t>
      </w:r>
      <w:r w:rsidR="00041C0B">
        <w:rPr>
          <w:rFonts w:ascii="Palatino Linotype" w:hAnsi="Palatino Linotype"/>
          <w:sz w:val="24"/>
          <w:szCs w:val="24"/>
        </w:rPr>
        <w:t xml:space="preserve"> após a mensagem ret</w:t>
      </w:r>
      <w:r w:rsidR="00041C0B">
        <w:rPr>
          <w:rFonts w:ascii="Palatino Linotype" w:hAnsi="Palatino Linotype"/>
          <w:sz w:val="24"/>
          <w:szCs w:val="24"/>
        </w:rPr>
        <w:t>i</w:t>
      </w:r>
      <w:r w:rsidR="00041C0B">
        <w:rPr>
          <w:rFonts w:ascii="Palatino Linotype" w:hAnsi="Palatino Linotype"/>
          <w:sz w:val="24"/>
          <w:szCs w:val="24"/>
        </w:rPr>
        <w:t>ficativa</w:t>
      </w:r>
      <w:r w:rsidRPr="0090226B">
        <w:rPr>
          <w:rFonts w:ascii="Palatino Linotype" w:hAnsi="Palatino Linotype"/>
          <w:sz w:val="24"/>
          <w:szCs w:val="24"/>
        </w:rPr>
        <w:t>.</w:t>
      </w:r>
    </w:p>
    <w:p w:rsidR="008E6975" w:rsidRDefault="008E6975" w:rsidP="00843C5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85172" w:rsidRPr="002C1217" w:rsidRDefault="00F85172" w:rsidP="00DB7138">
      <w:pPr>
        <w:pStyle w:val="PargrafodaLista"/>
        <w:numPr>
          <w:ilvl w:val="0"/>
          <w:numId w:val="2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C1217">
        <w:rPr>
          <w:rFonts w:ascii="Palatino Linotype" w:hAnsi="Palatino Linotype"/>
          <w:b/>
          <w:sz w:val="24"/>
          <w:szCs w:val="24"/>
        </w:rPr>
        <w:t>CONCLUSÃO</w:t>
      </w:r>
    </w:p>
    <w:p w:rsidR="00616255" w:rsidRPr="002C1217" w:rsidRDefault="00616255" w:rsidP="00616255">
      <w:pPr>
        <w:pStyle w:val="PargrafodaLista"/>
        <w:spacing w:after="0" w:line="360" w:lineRule="auto"/>
        <w:ind w:left="1494"/>
        <w:jc w:val="both"/>
        <w:rPr>
          <w:rFonts w:ascii="Palatino Linotype" w:hAnsi="Palatino Linotype"/>
          <w:b/>
          <w:sz w:val="24"/>
          <w:szCs w:val="24"/>
        </w:rPr>
      </w:pPr>
    </w:p>
    <w:p w:rsidR="00A66300" w:rsidRDefault="00FD04D9" w:rsidP="00A66300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2C1217">
        <w:rPr>
          <w:rFonts w:ascii="Palatino Linotype" w:hAnsi="Palatino Linotype"/>
          <w:sz w:val="24"/>
          <w:szCs w:val="24"/>
        </w:rPr>
        <w:t xml:space="preserve">Diante do exposto, </w:t>
      </w:r>
      <w:r w:rsidR="005A0923" w:rsidRPr="002C1217">
        <w:rPr>
          <w:rFonts w:ascii="Palatino Linotype" w:hAnsi="Palatino Linotype"/>
          <w:sz w:val="24"/>
          <w:szCs w:val="24"/>
        </w:rPr>
        <w:t xml:space="preserve">respeitada a natureza opinativa do parecer jurídico, que não vincula, por si só, a manifestação das comissões permanentes e a convicção dos membros desta Câmara, e assegurada a soberania do Plenário, </w:t>
      </w:r>
      <w:r w:rsidR="00A66300" w:rsidRPr="002C1217">
        <w:rPr>
          <w:rFonts w:ascii="Palatino Linotype" w:hAnsi="Palatino Linotype"/>
          <w:sz w:val="24"/>
          <w:szCs w:val="24"/>
        </w:rPr>
        <w:t xml:space="preserve">a Procuradoria </w:t>
      </w:r>
      <w:r w:rsidR="00A66300" w:rsidRPr="002C1217">
        <w:rPr>
          <w:rFonts w:ascii="Palatino Linotype" w:hAnsi="Palatino Linotype"/>
          <w:b/>
          <w:sz w:val="24"/>
          <w:szCs w:val="24"/>
        </w:rPr>
        <w:t xml:space="preserve">opina </w:t>
      </w:r>
      <w:r w:rsidR="00A66300" w:rsidRPr="002C1217">
        <w:rPr>
          <w:rFonts w:ascii="Palatino Linotype" w:hAnsi="Palatino Linotype"/>
          <w:sz w:val="24"/>
          <w:szCs w:val="24"/>
        </w:rPr>
        <w:t xml:space="preserve">pela regular tramitação </w:t>
      </w:r>
      <w:r w:rsidR="00EE01B8">
        <w:rPr>
          <w:rFonts w:ascii="Palatino Linotype" w:hAnsi="Palatino Linotype"/>
          <w:sz w:val="24"/>
          <w:szCs w:val="24"/>
        </w:rPr>
        <w:t>d</w:t>
      </w:r>
      <w:r w:rsidR="008710F4">
        <w:rPr>
          <w:rFonts w:ascii="Palatino Linotype" w:hAnsi="Palatino Linotype"/>
          <w:sz w:val="24"/>
          <w:szCs w:val="24"/>
        </w:rPr>
        <w:t xml:space="preserve">o </w:t>
      </w:r>
      <w:r w:rsidR="00A66300" w:rsidRPr="002C1217">
        <w:rPr>
          <w:rFonts w:ascii="Palatino Linotype" w:hAnsi="Palatino Linotype"/>
          <w:sz w:val="24"/>
          <w:szCs w:val="24"/>
        </w:rPr>
        <w:t xml:space="preserve">Projeto de Lei </w:t>
      </w:r>
      <w:r w:rsidR="00041C0B">
        <w:rPr>
          <w:rFonts w:ascii="Palatino Linotype" w:hAnsi="Palatino Linotype"/>
          <w:sz w:val="24"/>
          <w:szCs w:val="24"/>
        </w:rPr>
        <w:t xml:space="preserve">do Executivo </w:t>
      </w:r>
      <w:r w:rsidR="00A66300" w:rsidRPr="002C1217">
        <w:rPr>
          <w:rFonts w:ascii="Palatino Linotype" w:hAnsi="Palatino Linotype"/>
          <w:sz w:val="24"/>
          <w:szCs w:val="24"/>
        </w:rPr>
        <w:t xml:space="preserve">nº </w:t>
      </w:r>
      <w:r w:rsidR="00154555" w:rsidRPr="002C1217">
        <w:rPr>
          <w:rFonts w:ascii="Palatino Linotype" w:hAnsi="Palatino Linotype"/>
          <w:sz w:val="24"/>
          <w:szCs w:val="24"/>
        </w:rPr>
        <w:t>0</w:t>
      </w:r>
      <w:r w:rsidR="00041C0B">
        <w:rPr>
          <w:rFonts w:ascii="Palatino Linotype" w:hAnsi="Palatino Linotype"/>
          <w:sz w:val="24"/>
          <w:szCs w:val="24"/>
        </w:rPr>
        <w:t>71</w:t>
      </w:r>
      <w:r w:rsidR="00154555" w:rsidRPr="002C1217">
        <w:rPr>
          <w:rFonts w:ascii="Palatino Linotype" w:hAnsi="Palatino Linotype"/>
          <w:sz w:val="24"/>
          <w:szCs w:val="24"/>
        </w:rPr>
        <w:t>/20</w:t>
      </w:r>
      <w:r w:rsidR="009852CD">
        <w:rPr>
          <w:rFonts w:ascii="Palatino Linotype" w:hAnsi="Palatino Linotype"/>
          <w:sz w:val="24"/>
          <w:szCs w:val="24"/>
        </w:rPr>
        <w:t>2</w:t>
      </w:r>
      <w:r w:rsidR="00041C0B">
        <w:rPr>
          <w:rFonts w:ascii="Palatino Linotype" w:hAnsi="Palatino Linotype"/>
          <w:sz w:val="24"/>
          <w:szCs w:val="24"/>
        </w:rPr>
        <w:t>3</w:t>
      </w:r>
      <w:r w:rsidR="00E858F7">
        <w:rPr>
          <w:rFonts w:ascii="Palatino Linotype" w:hAnsi="Palatino Linotype"/>
          <w:sz w:val="24"/>
          <w:szCs w:val="24"/>
        </w:rPr>
        <w:t>, com sua Mensagem Retificativa</w:t>
      </w:r>
      <w:r w:rsidR="008057BD" w:rsidRPr="002C1217">
        <w:rPr>
          <w:rFonts w:ascii="Palatino Linotype" w:hAnsi="Palatino Linotype"/>
          <w:sz w:val="24"/>
          <w:szCs w:val="24"/>
        </w:rPr>
        <w:t xml:space="preserve">, de autoria do </w:t>
      </w:r>
      <w:r w:rsidR="00711BCE">
        <w:rPr>
          <w:rFonts w:ascii="Palatino Linotype" w:hAnsi="Palatino Linotype"/>
          <w:sz w:val="24"/>
          <w:szCs w:val="24"/>
        </w:rPr>
        <w:t>P</w:t>
      </w:r>
      <w:r w:rsidR="00711BCE">
        <w:rPr>
          <w:rFonts w:ascii="Palatino Linotype" w:hAnsi="Palatino Linotype"/>
          <w:sz w:val="24"/>
          <w:szCs w:val="24"/>
        </w:rPr>
        <w:t>o</w:t>
      </w:r>
      <w:r w:rsidR="00711BCE">
        <w:rPr>
          <w:rFonts w:ascii="Palatino Linotype" w:hAnsi="Palatino Linotype"/>
          <w:sz w:val="24"/>
          <w:szCs w:val="24"/>
        </w:rPr>
        <w:t xml:space="preserve">der </w:t>
      </w:r>
      <w:r w:rsidR="008057BD" w:rsidRPr="002C1217">
        <w:rPr>
          <w:rFonts w:ascii="Palatino Linotype" w:hAnsi="Palatino Linotype"/>
          <w:sz w:val="24"/>
          <w:szCs w:val="24"/>
        </w:rPr>
        <w:t>Executivo Municipal</w:t>
      </w:r>
      <w:r w:rsidR="008526A2">
        <w:rPr>
          <w:rFonts w:ascii="Palatino Linotype" w:hAnsi="Palatino Linotype"/>
          <w:sz w:val="24"/>
          <w:szCs w:val="24"/>
        </w:rPr>
        <w:t>.</w:t>
      </w:r>
    </w:p>
    <w:p w:rsidR="0028695E" w:rsidRDefault="0028695E" w:rsidP="00A66300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28695E" w:rsidRPr="00D74A32" w:rsidRDefault="0028695E" w:rsidP="00A66300">
      <w:pPr>
        <w:spacing w:after="0" w:line="360" w:lineRule="auto"/>
        <w:ind w:firstLine="1134"/>
        <w:jc w:val="both"/>
        <w:rPr>
          <w:rFonts w:ascii="Palatino Linotype" w:hAnsi="Palatino Linotype"/>
          <w:b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t>É parecer.</w:t>
      </w:r>
    </w:p>
    <w:p w:rsidR="00EC77DD" w:rsidRDefault="00EC77DD" w:rsidP="00A66300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A66300" w:rsidRPr="002C1217" w:rsidRDefault="00A66300" w:rsidP="00A66300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2C1217">
        <w:rPr>
          <w:rFonts w:ascii="Palatino Linotype" w:hAnsi="Palatino Linotype"/>
          <w:sz w:val="24"/>
          <w:szCs w:val="24"/>
        </w:rPr>
        <w:t xml:space="preserve">Guaíba, </w:t>
      </w:r>
      <w:r w:rsidR="00041C0B">
        <w:rPr>
          <w:rFonts w:ascii="Palatino Linotype" w:hAnsi="Palatino Linotype"/>
          <w:sz w:val="24"/>
          <w:szCs w:val="24"/>
        </w:rPr>
        <w:t>0</w:t>
      </w:r>
      <w:r w:rsidR="00897DD7">
        <w:rPr>
          <w:rFonts w:ascii="Palatino Linotype" w:hAnsi="Palatino Linotype"/>
          <w:sz w:val="24"/>
          <w:szCs w:val="24"/>
        </w:rPr>
        <w:t>7</w:t>
      </w:r>
      <w:r w:rsidR="005A0923" w:rsidRPr="002C1217">
        <w:rPr>
          <w:rFonts w:ascii="Palatino Linotype" w:hAnsi="Palatino Linotype"/>
          <w:sz w:val="24"/>
          <w:szCs w:val="24"/>
        </w:rPr>
        <w:t xml:space="preserve"> de </w:t>
      </w:r>
      <w:r w:rsidR="00190E3A">
        <w:rPr>
          <w:rFonts w:ascii="Palatino Linotype" w:hAnsi="Palatino Linotype"/>
          <w:sz w:val="24"/>
          <w:szCs w:val="24"/>
        </w:rPr>
        <w:t>novembr</w:t>
      </w:r>
      <w:r w:rsidR="005A0923" w:rsidRPr="002C1217">
        <w:rPr>
          <w:rFonts w:ascii="Palatino Linotype" w:hAnsi="Palatino Linotype"/>
          <w:sz w:val="24"/>
          <w:szCs w:val="24"/>
        </w:rPr>
        <w:t>o de 20</w:t>
      </w:r>
      <w:r w:rsidR="009852CD">
        <w:rPr>
          <w:rFonts w:ascii="Palatino Linotype" w:hAnsi="Palatino Linotype"/>
          <w:sz w:val="24"/>
          <w:szCs w:val="24"/>
        </w:rPr>
        <w:t>2</w:t>
      </w:r>
      <w:r w:rsidR="00041C0B">
        <w:rPr>
          <w:rFonts w:ascii="Palatino Linotype" w:hAnsi="Palatino Linotype"/>
          <w:sz w:val="24"/>
          <w:szCs w:val="24"/>
        </w:rPr>
        <w:t>3</w:t>
      </w:r>
      <w:r w:rsidR="005A0923" w:rsidRPr="002C1217">
        <w:rPr>
          <w:rFonts w:ascii="Palatino Linotype" w:hAnsi="Palatino Linotype"/>
          <w:sz w:val="24"/>
          <w:szCs w:val="24"/>
        </w:rPr>
        <w:t>.</w:t>
      </w:r>
    </w:p>
    <w:p w:rsidR="00FC69FA" w:rsidRPr="002C1217" w:rsidRDefault="00FC69FA" w:rsidP="00A66300">
      <w:p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</w:p>
    <w:p w:rsidR="00DD48D8" w:rsidRPr="002C1217" w:rsidRDefault="00DD48D8" w:rsidP="00043C20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2C1217">
        <w:rPr>
          <w:rFonts w:ascii="Palatino Linotype" w:hAnsi="Palatino Linotype"/>
          <w:b/>
          <w:sz w:val="24"/>
          <w:szCs w:val="24"/>
        </w:rPr>
        <w:t>FERNANDO HENRIQUE ESCOBAR BINS</w:t>
      </w:r>
    </w:p>
    <w:p w:rsidR="00DD48D8" w:rsidRPr="002C1217" w:rsidRDefault="00DD48D8" w:rsidP="00043C20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2C1217">
        <w:rPr>
          <w:rFonts w:ascii="Palatino Linotype" w:hAnsi="Palatino Linotype"/>
          <w:sz w:val="24"/>
          <w:szCs w:val="24"/>
        </w:rPr>
        <w:t>Procurador</w:t>
      </w:r>
      <w:r w:rsidR="004B5B99">
        <w:rPr>
          <w:rFonts w:ascii="Palatino Linotype" w:hAnsi="Palatino Linotype"/>
          <w:sz w:val="24"/>
          <w:szCs w:val="24"/>
        </w:rPr>
        <w:t>-</w:t>
      </w:r>
      <w:r w:rsidRPr="002C1217">
        <w:rPr>
          <w:rFonts w:ascii="Palatino Linotype" w:hAnsi="Palatino Linotype"/>
          <w:sz w:val="24"/>
          <w:szCs w:val="24"/>
        </w:rPr>
        <w:t>Geral da Câmara Municipal de Guaíba</w:t>
      </w:r>
    </w:p>
    <w:p w:rsidR="00DD48D8" w:rsidRPr="002C1217" w:rsidRDefault="00DD48D8" w:rsidP="00043C20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2C1217">
        <w:rPr>
          <w:rFonts w:ascii="Palatino Linotype" w:hAnsi="Palatino Linotype"/>
          <w:sz w:val="24"/>
          <w:szCs w:val="24"/>
        </w:rPr>
        <w:t>OAB/RS nº 107.136</w:t>
      </w:r>
    </w:p>
    <w:p w:rsidR="00DD48D8" w:rsidRPr="002C1217" w:rsidRDefault="00DD48D8" w:rsidP="00DD48D8">
      <w:pPr>
        <w:spacing w:after="0" w:line="360" w:lineRule="auto"/>
        <w:jc w:val="center"/>
        <w:rPr>
          <w:rFonts w:ascii="Palatino Linotype" w:hAnsi="Palatino Linotype" w:cs="Times New Roman"/>
          <w:b/>
          <w:sz w:val="24"/>
          <w:szCs w:val="24"/>
        </w:rPr>
      </w:pPr>
    </w:p>
    <w:sectPr w:rsidR="00DD48D8" w:rsidRPr="002C1217" w:rsidSect="00102CC9">
      <w:headerReference w:type="default" r:id="rId9"/>
      <w:footerReference w:type="default" r:id="rId10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0CA9" w:rsidRDefault="00660CA9" w:rsidP="00B365A3">
      <w:pPr>
        <w:spacing w:after="0" w:line="240" w:lineRule="auto"/>
      </w:pPr>
      <w:r>
        <w:separator/>
      </w:r>
    </w:p>
  </w:endnote>
  <w:endnote w:type="continuationSeparator" w:id="1">
    <w:p w:rsidR="00660CA9" w:rsidRDefault="00660CA9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26954"/>
      <w:docPartObj>
        <w:docPartGallery w:val="Page Numbers (Bottom of Page)"/>
        <w:docPartUnique/>
      </w:docPartObj>
    </w:sdtPr>
    <w:sdtContent>
      <w:p w:rsidR="004770DD" w:rsidRDefault="004770DD">
        <w:pPr>
          <w:pStyle w:val="Rodap"/>
          <w:jc w:val="right"/>
        </w:pPr>
        <w:fldSimple w:instr=" PAGE   \* MERGEFORMAT ">
          <w:r w:rsidR="00E858F7">
            <w:rPr>
              <w:noProof/>
            </w:rPr>
            <w:t>9</w:t>
          </w:r>
        </w:fldSimple>
      </w:p>
    </w:sdtContent>
  </w:sdt>
  <w:p w:rsidR="004770DD" w:rsidRDefault="004770DD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0CA9" w:rsidRDefault="00660CA9" w:rsidP="00B365A3">
      <w:pPr>
        <w:spacing w:after="0" w:line="240" w:lineRule="auto"/>
      </w:pPr>
      <w:r>
        <w:separator/>
      </w:r>
    </w:p>
  </w:footnote>
  <w:footnote w:type="continuationSeparator" w:id="1">
    <w:p w:rsidR="00660CA9" w:rsidRDefault="00660CA9" w:rsidP="00B365A3">
      <w:pPr>
        <w:spacing w:after="0" w:line="240" w:lineRule="auto"/>
      </w:pPr>
      <w:r>
        <w:continuationSeparator/>
      </w:r>
    </w:p>
  </w:footnote>
  <w:footnote w:id="2">
    <w:p w:rsidR="004770DD" w:rsidRDefault="004770DD" w:rsidP="002D3AE9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</w:t>
      </w:r>
      <w:hyperlink r:id="rId1" w:history="1">
        <w:r w:rsidRPr="00DF49B1">
          <w:rPr>
            <w:rStyle w:val="Hyperlink"/>
          </w:rPr>
          <w:t>https://atosoficiais.com.br/tcers/oficio-circular-da-dcf-n-25-2019-decisao-n-ad-0005-2019-processo-de-pedido-de-orientacao-tecnica-n-1720-0200-15-6</w:t>
        </w:r>
      </w:hyperlink>
      <w:r>
        <w:t xml:space="preserve"> </w:t>
      </w:r>
    </w:p>
  </w:footnote>
  <w:footnote w:id="3">
    <w:p w:rsidR="004770DD" w:rsidRDefault="004770DD" w:rsidP="00905F8B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</w:t>
      </w:r>
      <w:hyperlink r:id="rId2" w:history="1">
        <w:r w:rsidRPr="00DF49B1">
          <w:rPr>
            <w:rStyle w:val="Hyperlink"/>
          </w:rPr>
          <w:t>https://www.camarapoa.rs.gov.br/noticias/projeto-do-executivo-trata-do-efeito-cascata-em-salario-dos-municiparios</w:t>
        </w:r>
      </w:hyperlink>
      <w:r>
        <w:t xml:space="preserve"> 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0DD" w:rsidRDefault="004770DD" w:rsidP="002C121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2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770DD" w:rsidRPr="009575A3" w:rsidRDefault="004770DD" w:rsidP="002C1217">
    <w:pPr>
      <w:pStyle w:val="Cabealho"/>
      <w:pBdr>
        <w:bottom w:val="single" w:sz="4" w:space="1" w:color="auto"/>
      </w:pBdr>
      <w:jc w:val="center"/>
      <w:rPr>
        <w:rFonts w:ascii="Century Schoolbook" w:hAnsi="Century Schoolbook"/>
        <w:b/>
        <w:sz w:val="20"/>
      </w:rPr>
    </w:pPr>
    <w:r w:rsidRPr="009575A3">
      <w:rPr>
        <w:rFonts w:ascii="Century Schoolbook" w:hAnsi="Century Schoolbook"/>
        <w:b/>
        <w:sz w:val="18"/>
      </w:rPr>
      <w:t>PROCURADORIA JURÍDICA</w:t>
    </w:r>
  </w:p>
  <w:p w:rsidR="004770DD" w:rsidRDefault="004770DD" w:rsidP="002C1217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597EE0"/>
    <w:multiLevelType w:val="hybridMultilevel"/>
    <w:tmpl w:val="D98455D6"/>
    <w:lvl w:ilvl="0" w:tplc="8E503604">
      <w:start w:val="1"/>
      <w:numFmt w:val="decimal"/>
      <w:lvlText w:val="%1."/>
      <w:lvlJc w:val="left"/>
      <w:pPr>
        <w:ind w:left="178" w:hanging="2552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A2401B2A">
      <w:numFmt w:val="none"/>
      <w:lvlText w:val=""/>
      <w:lvlJc w:val="left"/>
      <w:pPr>
        <w:tabs>
          <w:tab w:val="num" w:pos="360"/>
        </w:tabs>
      </w:pPr>
    </w:lvl>
    <w:lvl w:ilvl="2" w:tplc="83B09AA2">
      <w:numFmt w:val="none"/>
      <w:lvlText w:val=""/>
      <w:lvlJc w:val="left"/>
      <w:pPr>
        <w:tabs>
          <w:tab w:val="num" w:pos="360"/>
        </w:tabs>
      </w:pPr>
    </w:lvl>
    <w:lvl w:ilvl="3" w:tplc="9D9CF9FA">
      <w:start w:val="1"/>
      <w:numFmt w:val="decimal"/>
      <w:lvlText w:val="%4."/>
      <w:lvlJc w:val="left"/>
      <w:pPr>
        <w:ind w:left="2730" w:hanging="255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 w:tplc="B6B6110A">
      <w:numFmt w:val="bullet"/>
      <w:lvlText w:val="•"/>
      <w:lvlJc w:val="left"/>
      <w:pPr>
        <w:ind w:left="5015" w:hanging="255"/>
      </w:pPr>
      <w:rPr>
        <w:rFonts w:hint="default"/>
        <w:lang w:val="pt-PT" w:eastAsia="en-US" w:bidi="ar-SA"/>
      </w:rPr>
    </w:lvl>
    <w:lvl w:ilvl="5" w:tplc="EB20AE4E">
      <w:numFmt w:val="bullet"/>
      <w:lvlText w:val="•"/>
      <w:lvlJc w:val="left"/>
      <w:pPr>
        <w:ind w:left="5773" w:hanging="255"/>
      </w:pPr>
      <w:rPr>
        <w:rFonts w:hint="default"/>
        <w:lang w:val="pt-PT" w:eastAsia="en-US" w:bidi="ar-SA"/>
      </w:rPr>
    </w:lvl>
    <w:lvl w:ilvl="6" w:tplc="6AF818E6">
      <w:numFmt w:val="bullet"/>
      <w:lvlText w:val="•"/>
      <w:lvlJc w:val="left"/>
      <w:pPr>
        <w:ind w:left="6532" w:hanging="255"/>
      </w:pPr>
      <w:rPr>
        <w:rFonts w:hint="default"/>
        <w:lang w:val="pt-PT" w:eastAsia="en-US" w:bidi="ar-SA"/>
      </w:rPr>
    </w:lvl>
    <w:lvl w:ilvl="7" w:tplc="73422EC2">
      <w:numFmt w:val="bullet"/>
      <w:lvlText w:val="•"/>
      <w:lvlJc w:val="left"/>
      <w:pPr>
        <w:ind w:left="7290" w:hanging="255"/>
      </w:pPr>
      <w:rPr>
        <w:rFonts w:hint="default"/>
        <w:lang w:val="pt-PT" w:eastAsia="en-US" w:bidi="ar-SA"/>
      </w:rPr>
    </w:lvl>
    <w:lvl w:ilvl="8" w:tplc="57607A76">
      <w:numFmt w:val="bullet"/>
      <w:lvlText w:val="•"/>
      <w:lvlJc w:val="left"/>
      <w:pPr>
        <w:ind w:left="8049" w:hanging="255"/>
      </w:pPr>
      <w:rPr>
        <w:rFonts w:hint="default"/>
        <w:lang w:val="pt-PT" w:eastAsia="en-US" w:bidi="ar-SA"/>
      </w:rPr>
    </w:lvl>
  </w:abstractNum>
  <w:abstractNum w:abstractNumId="1">
    <w:nsid w:val="665D3C8B"/>
    <w:multiLevelType w:val="multilevel"/>
    <w:tmpl w:val="2368D1BA"/>
    <w:lvl w:ilvl="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1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7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7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934" w:hanging="1800"/>
      </w:pPr>
      <w:rPr>
        <w:rFonts w:hint="default"/>
      </w:rPr>
    </w:lvl>
  </w:abstractNum>
  <w:abstractNum w:abstractNumId="2">
    <w:nsid w:val="79947E70"/>
    <w:multiLevelType w:val="multilevel"/>
    <w:tmpl w:val="C98CAC9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20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0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9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752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59394"/>
  </w:hdrShapeDefaults>
  <w:footnotePr>
    <w:footnote w:id="0"/>
    <w:footnote w:id="1"/>
  </w:footnotePr>
  <w:endnotePr>
    <w:endnote w:id="0"/>
    <w:endnote w:id="1"/>
  </w:endnotePr>
  <w:compat/>
  <w:rsids>
    <w:rsidRoot w:val="00B365A3"/>
    <w:rsid w:val="00003518"/>
    <w:rsid w:val="00004E4F"/>
    <w:rsid w:val="000060C0"/>
    <w:rsid w:val="000127B0"/>
    <w:rsid w:val="000164CA"/>
    <w:rsid w:val="000224BD"/>
    <w:rsid w:val="00023500"/>
    <w:rsid w:val="00027F82"/>
    <w:rsid w:val="00032713"/>
    <w:rsid w:val="00036BC1"/>
    <w:rsid w:val="000401B2"/>
    <w:rsid w:val="00040AAA"/>
    <w:rsid w:val="00041C0B"/>
    <w:rsid w:val="00043C20"/>
    <w:rsid w:val="00052FFF"/>
    <w:rsid w:val="0005383A"/>
    <w:rsid w:val="00055EE8"/>
    <w:rsid w:val="00056A86"/>
    <w:rsid w:val="000606CD"/>
    <w:rsid w:val="00066D86"/>
    <w:rsid w:val="00067660"/>
    <w:rsid w:val="000714D3"/>
    <w:rsid w:val="00082BE2"/>
    <w:rsid w:val="00084D65"/>
    <w:rsid w:val="000858A5"/>
    <w:rsid w:val="000943EE"/>
    <w:rsid w:val="000A6C43"/>
    <w:rsid w:val="000D0215"/>
    <w:rsid w:val="000E0C16"/>
    <w:rsid w:val="000E3676"/>
    <w:rsid w:val="000E4D31"/>
    <w:rsid w:val="000E5179"/>
    <w:rsid w:val="000F07C9"/>
    <w:rsid w:val="000F2296"/>
    <w:rsid w:val="000F3286"/>
    <w:rsid w:val="000F4635"/>
    <w:rsid w:val="000F4A9B"/>
    <w:rsid w:val="00100B2B"/>
    <w:rsid w:val="00102CC9"/>
    <w:rsid w:val="00104C48"/>
    <w:rsid w:val="00105E9C"/>
    <w:rsid w:val="00110DB4"/>
    <w:rsid w:val="0011259B"/>
    <w:rsid w:val="001144C0"/>
    <w:rsid w:val="00123082"/>
    <w:rsid w:val="00130B23"/>
    <w:rsid w:val="0013596E"/>
    <w:rsid w:val="00141257"/>
    <w:rsid w:val="001423DC"/>
    <w:rsid w:val="001423F9"/>
    <w:rsid w:val="00147336"/>
    <w:rsid w:val="001479E6"/>
    <w:rsid w:val="00152F2B"/>
    <w:rsid w:val="00154555"/>
    <w:rsid w:val="00157B0A"/>
    <w:rsid w:val="001669A5"/>
    <w:rsid w:val="00177038"/>
    <w:rsid w:val="00185B8E"/>
    <w:rsid w:val="00187293"/>
    <w:rsid w:val="00190E3A"/>
    <w:rsid w:val="00192579"/>
    <w:rsid w:val="001925CE"/>
    <w:rsid w:val="001A611B"/>
    <w:rsid w:val="001A66CD"/>
    <w:rsid w:val="001A68B2"/>
    <w:rsid w:val="001B2157"/>
    <w:rsid w:val="001B38BB"/>
    <w:rsid w:val="001B6ACD"/>
    <w:rsid w:val="001D360D"/>
    <w:rsid w:val="001D3A48"/>
    <w:rsid w:val="001D4137"/>
    <w:rsid w:val="001F2226"/>
    <w:rsid w:val="001F5601"/>
    <w:rsid w:val="001F5FE9"/>
    <w:rsid w:val="001F6381"/>
    <w:rsid w:val="001F6BDB"/>
    <w:rsid w:val="002057DD"/>
    <w:rsid w:val="00211623"/>
    <w:rsid w:val="00214922"/>
    <w:rsid w:val="00214A1F"/>
    <w:rsid w:val="00215A2F"/>
    <w:rsid w:val="00215AE6"/>
    <w:rsid w:val="00223EC4"/>
    <w:rsid w:val="002272C4"/>
    <w:rsid w:val="00227C45"/>
    <w:rsid w:val="0023467C"/>
    <w:rsid w:val="0023697D"/>
    <w:rsid w:val="00237A37"/>
    <w:rsid w:val="00252881"/>
    <w:rsid w:val="00261B72"/>
    <w:rsid w:val="00263F74"/>
    <w:rsid w:val="00265D3C"/>
    <w:rsid w:val="0027244B"/>
    <w:rsid w:val="00274AEB"/>
    <w:rsid w:val="002800EE"/>
    <w:rsid w:val="00285DD8"/>
    <w:rsid w:val="0028695E"/>
    <w:rsid w:val="00291760"/>
    <w:rsid w:val="002924B0"/>
    <w:rsid w:val="002965A3"/>
    <w:rsid w:val="002A1DBB"/>
    <w:rsid w:val="002A2D63"/>
    <w:rsid w:val="002A41D4"/>
    <w:rsid w:val="002B1AB3"/>
    <w:rsid w:val="002C1217"/>
    <w:rsid w:val="002D2229"/>
    <w:rsid w:val="002D3AE9"/>
    <w:rsid w:val="002D513C"/>
    <w:rsid w:val="002E31B8"/>
    <w:rsid w:val="002F0A12"/>
    <w:rsid w:val="002F19D0"/>
    <w:rsid w:val="00311328"/>
    <w:rsid w:val="00311DED"/>
    <w:rsid w:val="00314901"/>
    <w:rsid w:val="00326D07"/>
    <w:rsid w:val="00334430"/>
    <w:rsid w:val="0033516D"/>
    <w:rsid w:val="00335FE1"/>
    <w:rsid w:val="003374A8"/>
    <w:rsid w:val="00343C03"/>
    <w:rsid w:val="00353701"/>
    <w:rsid w:val="00354436"/>
    <w:rsid w:val="00360B2D"/>
    <w:rsid w:val="003617F4"/>
    <w:rsid w:val="00363FDF"/>
    <w:rsid w:val="00365A21"/>
    <w:rsid w:val="003735A5"/>
    <w:rsid w:val="0038735C"/>
    <w:rsid w:val="00387720"/>
    <w:rsid w:val="003A280D"/>
    <w:rsid w:val="003A2B98"/>
    <w:rsid w:val="003A510D"/>
    <w:rsid w:val="003B0D64"/>
    <w:rsid w:val="003D2F5D"/>
    <w:rsid w:val="003D3A04"/>
    <w:rsid w:val="003D6662"/>
    <w:rsid w:val="003E05C7"/>
    <w:rsid w:val="003E2A52"/>
    <w:rsid w:val="003E650E"/>
    <w:rsid w:val="003E6A17"/>
    <w:rsid w:val="003F20BA"/>
    <w:rsid w:val="003F7012"/>
    <w:rsid w:val="004020CE"/>
    <w:rsid w:val="004037F6"/>
    <w:rsid w:val="00406432"/>
    <w:rsid w:val="00407B92"/>
    <w:rsid w:val="0041616C"/>
    <w:rsid w:val="00423F83"/>
    <w:rsid w:val="004325CD"/>
    <w:rsid w:val="00432958"/>
    <w:rsid w:val="00433DBE"/>
    <w:rsid w:val="00433F78"/>
    <w:rsid w:val="00435718"/>
    <w:rsid w:val="00437522"/>
    <w:rsid w:val="00440557"/>
    <w:rsid w:val="004407D2"/>
    <w:rsid w:val="00447293"/>
    <w:rsid w:val="004473BF"/>
    <w:rsid w:val="0046073A"/>
    <w:rsid w:val="00460A42"/>
    <w:rsid w:val="004718C7"/>
    <w:rsid w:val="004770DD"/>
    <w:rsid w:val="004800F1"/>
    <w:rsid w:val="004834B7"/>
    <w:rsid w:val="004869EA"/>
    <w:rsid w:val="00495987"/>
    <w:rsid w:val="004A1C77"/>
    <w:rsid w:val="004A6BC7"/>
    <w:rsid w:val="004B4305"/>
    <w:rsid w:val="004B5B99"/>
    <w:rsid w:val="004D6FB0"/>
    <w:rsid w:val="004E2B83"/>
    <w:rsid w:val="004E376B"/>
    <w:rsid w:val="004F1F12"/>
    <w:rsid w:val="004F24F7"/>
    <w:rsid w:val="004F258C"/>
    <w:rsid w:val="004F2863"/>
    <w:rsid w:val="004F7AE1"/>
    <w:rsid w:val="00502F71"/>
    <w:rsid w:val="00515E33"/>
    <w:rsid w:val="00517769"/>
    <w:rsid w:val="005214F9"/>
    <w:rsid w:val="005220C7"/>
    <w:rsid w:val="005301D8"/>
    <w:rsid w:val="00545334"/>
    <w:rsid w:val="00567F99"/>
    <w:rsid w:val="0057093E"/>
    <w:rsid w:val="00571DF1"/>
    <w:rsid w:val="00572222"/>
    <w:rsid w:val="00572860"/>
    <w:rsid w:val="00574F00"/>
    <w:rsid w:val="00576FD2"/>
    <w:rsid w:val="00580139"/>
    <w:rsid w:val="005805C5"/>
    <w:rsid w:val="0058533A"/>
    <w:rsid w:val="005906C3"/>
    <w:rsid w:val="005928AD"/>
    <w:rsid w:val="005952D8"/>
    <w:rsid w:val="005A039B"/>
    <w:rsid w:val="005A0923"/>
    <w:rsid w:val="005A6597"/>
    <w:rsid w:val="005B3095"/>
    <w:rsid w:val="005B64A6"/>
    <w:rsid w:val="005D0566"/>
    <w:rsid w:val="005D2F97"/>
    <w:rsid w:val="005E4467"/>
    <w:rsid w:val="005E4A6E"/>
    <w:rsid w:val="005E559E"/>
    <w:rsid w:val="005E713F"/>
    <w:rsid w:val="005E7292"/>
    <w:rsid w:val="005F18F6"/>
    <w:rsid w:val="005F214D"/>
    <w:rsid w:val="005F222C"/>
    <w:rsid w:val="005F4899"/>
    <w:rsid w:val="005F4FD7"/>
    <w:rsid w:val="006007AC"/>
    <w:rsid w:val="00605712"/>
    <w:rsid w:val="00606FD4"/>
    <w:rsid w:val="00607FBA"/>
    <w:rsid w:val="00614706"/>
    <w:rsid w:val="00616255"/>
    <w:rsid w:val="00620BA7"/>
    <w:rsid w:val="00623974"/>
    <w:rsid w:val="0062425C"/>
    <w:rsid w:val="006436DF"/>
    <w:rsid w:val="006542A4"/>
    <w:rsid w:val="006571A8"/>
    <w:rsid w:val="0066094B"/>
    <w:rsid w:val="00660CA9"/>
    <w:rsid w:val="00662727"/>
    <w:rsid w:val="006717F1"/>
    <w:rsid w:val="006815C6"/>
    <w:rsid w:val="00682F28"/>
    <w:rsid w:val="00690621"/>
    <w:rsid w:val="0069367E"/>
    <w:rsid w:val="006A194E"/>
    <w:rsid w:val="006A59F5"/>
    <w:rsid w:val="006A78AD"/>
    <w:rsid w:val="006B182E"/>
    <w:rsid w:val="006B2C66"/>
    <w:rsid w:val="006B374F"/>
    <w:rsid w:val="006B45BF"/>
    <w:rsid w:val="006D247A"/>
    <w:rsid w:val="006D4B42"/>
    <w:rsid w:val="006D50F2"/>
    <w:rsid w:val="006D6A94"/>
    <w:rsid w:val="006D79F6"/>
    <w:rsid w:val="006E043B"/>
    <w:rsid w:val="006E0563"/>
    <w:rsid w:val="006E2231"/>
    <w:rsid w:val="006F13F1"/>
    <w:rsid w:val="006F2B82"/>
    <w:rsid w:val="00703164"/>
    <w:rsid w:val="00705059"/>
    <w:rsid w:val="007067F1"/>
    <w:rsid w:val="0070735F"/>
    <w:rsid w:val="0071163B"/>
    <w:rsid w:val="00711BCE"/>
    <w:rsid w:val="00716C73"/>
    <w:rsid w:val="00716D01"/>
    <w:rsid w:val="00722419"/>
    <w:rsid w:val="00723032"/>
    <w:rsid w:val="00725A01"/>
    <w:rsid w:val="0073624E"/>
    <w:rsid w:val="00741FC5"/>
    <w:rsid w:val="007461CF"/>
    <w:rsid w:val="00751499"/>
    <w:rsid w:val="0076325B"/>
    <w:rsid w:val="007633CA"/>
    <w:rsid w:val="00765F9B"/>
    <w:rsid w:val="00776352"/>
    <w:rsid w:val="007817E3"/>
    <w:rsid w:val="007854E6"/>
    <w:rsid w:val="0079122B"/>
    <w:rsid w:val="00794E75"/>
    <w:rsid w:val="007A6469"/>
    <w:rsid w:val="007B3F7D"/>
    <w:rsid w:val="007B5B58"/>
    <w:rsid w:val="007B67F3"/>
    <w:rsid w:val="007D6D94"/>
    <w:rsid w:val="007E7DA7"/>
    <w:rsid w:val="007F01F1"/>
    <w:rsid w:val="007F0AA6"/>
    <w:rsid w:val="00803980"/>
    <w:rsid w:val="008057BD"/>
    <w:rsid w:val="00811016"/>
    <w:rsid w:val="008138B2"/>
    <w:rsid w:val="00814BFA"/>
    <w:rsid w:val="008165C9"/>
    <w:rsid w:val="00820BFB"/>
    <w:rsid w:val="00821611"/>
    <w:rsid w:val="008227B0"/>
    <w:rsid w:val="008304E5"/>
    <w:rsid w:val="008426D4"/>
    <w:rsid w:val="00843C53"/>
    <w:rsid w:val="00845CD2"/>
    <w:rsid w:val="008470FE"/>
    <w:rsid w:val="00847C81"/>
    <w:rsid w:val="008526A2"/>
    <w:rsid w:val="00860519"/>
    <w:rsid w:val="00864DDE"/>
    <w:rsid w:val="00867CB3"/>
    <w:rsid w:val="00870C01"/>
    <w:rsid w:val="008710F4"/>
    <w:rsid w:val="0087375E"/>
    <w:rsid w:val="00897A35"/>
    <w:rsid w:val="00897DD7"/>
    <w:rsid w:val="00897EC1"/>
    <w:rsid w:val="008A02A8"/>
    <w:rsid w:val="008A084E"/>
    <w:rsid w:val="008A5958"/>
    <w:rsid w:val="008B0634"/>
    <w:rsid w:val="008C6B7C"/>
    <w:rsid w:val="008C6D90"/>
    <w:rsid w:val="008D15EF"/>
    <w:rsid w:val="008D36DC"/>
    <w:rsid w:val="008E5DF7"/>
    <w:rsid w:val="008E6975"/>
    <w:rsid w:val="00901C73"/>
    <w:rsid w:val="00905B60"/>
    <w:rsid w:val="00905F8B"/>
    <w:rsid w:val="00907367"/>
    <w:rsid w:val="009153FA"/>
    <w:rsid w:val="009255FD"/>
    <w:rsid w:val="00931151"/>
    <w:rsid w:val="00933D2C"/>
    <w:rsid w:val="009371A8"/>
    <w:rsid w:val="00941F9C"/>
    <w:rsid w:val="009421F2"/>
    <w:rsid w:val="00944B47"/>
    <w:rsid w:val="00947FC0"/>
    <w:rsid w:val="009530B0"/>
    <w:rsid w:val="0096299B"/>
    <w:rsid w:val="00963FA4"/>
    <w:rsid w:val="00965DF3"/>
    <w:rsid w:val="009677B1"/>
    <w:rsid w:val="009745AD"/>
    <w:rsid w:val="009762CB"/>
    <w:rsid w:val="009826AA"/>
    <w:rsid w:val="00983209"/>
    <w:rsid w:val="009852CD"/>
    <w:rsid w:val="00987306"/>
    <w:rsid w:val="00993A3E"/>
    <w:rsid w:val="009954ED"/>
    <w:rsid w:val="00996208"/>
    <w:rsid w:val="009A1232"/>
    <w:rsid w:val="009A445D"/>
    <w:rsid w:val="009B0E80"/>
    <w:rsid w:val="009B7D3B"/>
    <w:rsid w:val="009C5C5F"/>
    <w:rsid w:val="009D2419"/>
    <w:rsid w:val="009D331C"/>
    <w:rsid w:val="009D3DE4"/>
    <w:rsid w:val="009E03A3"/>
    <w:rsid w:val="009E05CF"/>
    <w:rsid w:val="009F5AAC"/>
    <w:rsid w:val="009F7051"/>
    <w:rsid w:val="00A17752"/>
    <w:rsid w:val="00A20DA6"/>
    <w:rsid w:val="00A44804"/>
    <w:rsid w:val="00A66300"/>
    <w:rsid w:val="00A7434A"/>
    <w:rsid w:val="00A77DF1"/>
    <w:rsid w:val="00A808BC"/>
    <w:rsid w:val="00A83742"/>
    <w:rsid w:val="00A91A8F"/>
    <w:rsid w:val="00A96631"/>
    <w:rsid w:val="00AA4C36"/>
    <w:rsid w:val="00AA6CCD"/>
    <w:rsid w:val="00AA75E2"/>
    <w:rsid w:val="00AB7A59"/>
    <w:rsid w:val="00AC3811"/>
    <w:rsid w:val="00AD52C3"/>
    <w:rsid w:val="00AE0CC7"/>
    <w:rsid w:val="00AE6904"/>
    <w:rsid w:val="00AE7F0E"/>
    <w:rsid w:val="00AF2091"/>
    <w:rsid w:val="00AF6E8B"/>
    <w:rsid w:val="00AF7F28"/>
    <w:rsid w:val="00B00CCC"/>
    <w:rsid w:val="00B02DEE"/>
    <w:rsid w:val="00B033D7"/>
    <w:rsid w:val="00B17BDC"/>
    <w:rsid w:val="00B301DF"/>
    <w:rsid w:val="00B307F1"/>
    <w:rsid w:val="00B365A3"/>
    <w:rsid w:val="00B37A23"/>
    <w:rsid w:val="00B37A8A"/>
    <w:rsid w:val="00B42041"/>
    <w:rsid w:val="00B42206"/>
    <w:rsid w:val="00B5723B"/>
    <w:rsid w:val="00B7146C"/>
    <w:rsid w:val="00B723F0"/>
    <w:rsid w:val="00B72DB4"/>
    <w:rsid w:val="00B80323"/>
    <w:rsid w:val="00B8286B"/>
    <w:rsid w:val="00B83F8E"/>
    <w:rsid w:val="00B90B03"/>
    <w:rsid w:val="00B93298"/>
    <w:rsid w:val="00B9690C"/>
    <w:rsid w:val="00BA0A3E"/>
    <w:rsid w:val="00BA14BB"/>
    <w:rsid w:val="00BB3F18"/>
    <w:rsid w:val="00BB58FC"/>
    <w:rsid w:val="00BC5A21"/>
    <w:rsid w:val="00BC69AA"/>
    <w:rsid w:val="00BC72E3"/>
    <w:rsid w:val="00BD2A6F"/>
    <w:rsid w:val="00BD62C7"/>
    <w:rsid w:val="00BE0CB4"/>
    <w:rsid w:val="00BE4C86"/>
    <w:rsid w:val="00BE5D49"/>
    <w:rsid w:val="00C03040"/>
    <w:rsid w:val="00C10D84"/>
    <w:rsid w:val="00C12338"/>
    <w:rsid w:val="00C13982"/>
    <w:rsid w:val="00C13D4F"/>
    <w:rsid w:val="00C24EBE"/>
    <w:rsid w:val="00C25250"/>
    <w:rsid w:val="00C3044E"/>
    <w:rsid w:val="00C417E8"/>
    <w:rsid w:val="00C46051"/>
    <w:rsid w:val="00C47435"/>
    <w:rsid w:val="00C47D02"/>
    <w:rsid w:val="00C47F19"/>
    <w:rsid w:val="00C55C19"/>
    <w:rsid w:val="00C6085A"/>
    <w:rsid w:val="00C6457F"/>
    <w:rsid w:val="00C67849"/>
    <w:rsid w:val="00C743A1"/>
    <w:rsid w:val="00C7445E"/>
    <w:rsid w:val="00C772CF"/>
    <w:rsid w:val="00C77469"/>
    <w:rsid w:val="00C86172"/>
    <w:rsid w:val="00C975AA"/>
    <w:rsid w:val="00CA08BD"/>
    <w:rsid w:val="00CA3E8F"/>
    <w:rsid w:val="00CB482D"/>
    <w:rsid w:val="00CC3266"/>
    <w:rsid w:val="00CD066E"/>
    <w:rsid w:val="00CD1F16"/>
    <w:rsid w:val="00CD6D1B"/>
    <w:rsid w:val="00CD7D8F"/>
    <w:rsid w:val="00CE4181"/>
    <w:rsid w:val="00CE794F"/>
    <w:rsid w:val="00CF0178"/>
    <w:rsid w:val="00CF3661"/>
    <w:rsid w:val="00CF77C8"/>
    <w:rsid w:val="00D10C8C"/>
    <w:rsid w:val="00D1380D"/>
    <w:rsid w:val="00D13B1C"/>
    <w:rsid w:val="00D17BDC"/>
    <w:rsid w:val="00D26F12"/>
    <w:rsid w:val="00D27412"/>
    <w:rsid w:val="00D4269C"/>
    <w:rsid w:val="00D51578"/>
    <w:rsid w:val="00D5705C"/>
    <w:rsid w:val="00D617EE"/>
    <w:rsid w:val="00D712B5"/>
    <w:rsid w:val="00D74A32"/>
    <w:rsid w:val="00D8154B"/>
    <w:rsid w:val="00D83F65"/>
    <w:rsid w:val="00DA28E1"/>
    <w:rsid w:val="00DA3D57"/>
    <w:rsid w:val="00DA4E4C"/>
    <w:rsid w:val="00DA7A73"/>
    <w:rsid w:val="00DB1708"/>
    <w:rsid w:val="00DB2190"/>
    <w:rsid w:val="00DB3C22"/>
    <w:rsid w:val="00DB5830"/>
    <w:rsid w:val="00DB7138"/>
    <w:rsid w:val="00DC16A8"/>
    <w:rsid w:val="00DC4C19"/>
    <w:rsid w:val="00DC63CA"/>
    <w:rsid w:val="00DC7221"/>
    <w:rsid w:val="00DC7739"/>
    <w:rsid w:val="00DD1531"/>
    <w:rsid w:val="00DD3579"/>
    <w:rsid w:val="00DD48D8"/>
    <w:rsid w:val="00DE4206"/>
    <w:rsid w:val="00DE4707"/>
    <w:rsid w:val="00DE5D43"/>
    <w:rsid w:val="00DF043E"/>
    <w:rsid w:val="00DF1858"/>
    <w:rsid w:val="00DF4459"/>
    <w:rsid w:val="00E013E2"/>
    <w:rsid w:val="00E06AF8"/>
    <w:rsid w:val="00E171E3"/>
    <w:rsid w:val="00E30E8F"/>
    <w:rsid w:val="00E345BD"/>
    <w:rsid w:val="00E35977"/>
    <w:rsid w:val="00E431C0"/>
    <w:rsid w:val="00E44C1B"/>
    <w:rsid w:val="00E501C1"/>
    <w:rsid w:val="00E51551"/>
    <w:rsid w:val="00E5368A"/>
    <w:rsid w:val="00E60979"/>
    <w:rsid w:val="00E67291"/>
    <w:rsid w:val="00E72A9B"/>
    <w:rsid w:val="00E8335E"/>
    <w:rsid w:val="00E858F7"/>
    <w:rsid w:val="00E85D67"/>
    <w:rsid w:val="00E93556"/>
    <w:rsid w:val="00E95777"/>
    <w:rsid w:val="00E95AAC"/>
    <w:rsid w:val="00EA77AA"/>
    <w:rsid w:val="00EB0D2C"/>
    <w:rsid w:val="00EB4991"/>
    <w:rsid w:val="00EB6A68"/>
    <w:rsid w:val="00EB7FD3"/>
    <w:rsid w:val="00EC0B8F"/>
    <w:rsid w:val="00EC466C"/>
    <w:rsid w:val="00EC77DD"/>
    <w:rsid w:val="00ED2076"/>
    <w:rsid w:val="00ED23D5"/>
    <w:rsid w:val="00EE01B8"/>
    <w:rsid w:val="00EE34AC"/>
    <w:rsid w:val="00EF2A2E"/>
    <w:rsid w:val="00EF760A"/>
    <w:rsid w:val="00EF7C04"/>
    <w:rsid w:val="00F0018C"/>
    <w:rsid w:val="00F023AB"/>
    <w:rsid w:val="00F04563"/>
    <w:rsid w:val="00F04B2E"/>
    <w:rsid w:val="00F11AC0"/>
    <w:rsid w:val="00F17B55"/>
    <w:rsid w:val="00F42D5A"/>
    <w:rsid w:val="00F6334E"/>
    <w:rsid w:val="00F6465F"/>
    <w:rsid w:val="00F704EF"/>
    <w:rsid w:val="00F71406"/>
    <w:rsid w:val="00F7176C"/>
    <w:rsid w:val="00F73B9D"/>
    <w:rsid w:val="00F74BA8"/>
    <w:rsid w:val="00F7714F"/>
    <w:rsid w:val="00F82EAF"/>
    <w:rsid w:val="00F83849"/>
    <w:rsid w:val="00F84980"/>
    <w:rsid w:val="00F85172"/>
    <w:rsid w:val="00F86287"/>
    <w:rsid w:val="00F86437"/>
    <w:rsid w:val="00F90B8B"/>
    <w:rsid w:val="00F94625"/>
    <w:rsid w:val="00F94BC2"/>
    <w:rsid w:val="00FA6601"/>
    <w:rsid w:val="00FB4ECF"/>
    <w:rsid w:val="00FB6AAF"/>
    <w:rsid w:val="00FC69FA"/>
    <w:rsid w:val="00FD04D9"/>
    <w:rsid w:val="00FD402E"/>
    <w:rsid w:val="00FD446B"/>
    <w:rsid w:val="00FE0AF9"/>
    <w:rsid w:val="00FE23E6"/>
    <w:rsid w:val="00FF2546"/>
    <w:rsid w:val="00FF3A3F"/>
    <w:rsid w:val="00FF6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1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07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407D2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407D2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4407D2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1F560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1F560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F5601"/>
    <w:rPr>
      <w:rFonts w:ascii="Arial MT" w:eastAsia="Arial MT" w:hAnsi="Arial MT" w:cs="Arial MT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1F560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1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2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proweb.procempa.com.br/pmpa/prefpoa/sma/usu_doc/guia-efeito_cascata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amarapoa.rs.gov.br/noticias/projeto-do-executivo-trata-do-efeito-cascata-em-salario-dos-municiparios" TargetMode="External"/><Relationship Id="rId1" Type="http://schemas.openxmlformats.org/officeDocument/2006/relationships/hyperlink" Target="https://atosoficiais.com.br/tcers/oficio-circular-da-dcf-n-25-2019-decisao-n-ad-0005-2019-processo-de-pedido-de-orientacao-tecnica-n-1720-0200-15-6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761B3F-979F-46D1-BE02-680A03100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9</Pages>
  <Words>2259</Words>
  <Characters>12202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Admin</cp:lastModifiedBy>
  <cp:revision>17</cp:revision>
  <cp:lastPrinted>2017-12-01T20:04:00Z</cp:lastPrinted>
  <dcterms:created xsi:type="dcterms:W3CDTF">2023-11-07T17:59:00Z</dcterms:created>
  <dcterms:modified xsi:type="dcterms:W3CDTF">2023-11-07T18:36:00Z</dcterms:modified>
</cp:coreProperties>
</file>