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5C04C6" w:rsidRDefault="008138B2" w:rsidP="00E61B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5C04C6">
        <w:rPr>
          <w:rFonts w:ascii="Palatino Linotype" w:hAnsi="Palatino Linotype"/>
          <w:b/>
          <w:sz w:val="24"/>
          <w:szCs w:val="24"/>
        </w:rPr>
        <w:t>PARECER JURÍDICO</w:t>
      </w:r>
      <w:r w:rsidR="00E61B34" w:rsidRPr="005C04C6">
        <w:rPr>
          <w:rFonts w:ascii="Palatino Linotype" w:hAnsi="Palatino Linotype"/>
          <w:b/>
          <w:sz w:val="24"/>
          <w:szCs w:val="24"/>
        </w:rPr>
        <w:t xml:space="preserve"> Nº </w:t>
      </w:r>
      <w:r w:rsidR="00645AEA">
        <w:rPr>
          <w:rFonts w:ascii="Palatino Linotype" w:hAnsi="Palatino Linotype"/>
          <w:b/>
          <w:sz w:val="24"/>
          <w:szCs w:val="24"/>
        </w:rPr>
        <w:t>082</w:t>
      </w:r>
      <w:r w:rsidR="00E61B34" w:rsidRPr="005C04C6">
        <w:rPr>
          <w:rFonts w:ascii="Palatino Linotype" w:hAnsi="Palatino Linotype"/>
          <w:b/>
          <w:sz w:val="24"/>
          <w:szCs w:val="24"/>
        </w:rPr>
        <w:t>/202</w:t>
      </w:r>
      <w:r w:rsidR="00645AEA">
        <w:rPr>
          <w:rFonts w:ascii="Palatino Linotype" w:hAnsi="Palatino Linotype"/>
          <w:b/>
          <w:sz w:val="24"/>
          <w:szCs w:val="24"/>
        </w:rPr>
        <w:t>4</w:t>
      </w:r>
    </w:p>
    <w:p w:rsidR="008138B2" w:rsidRPr="005C04C6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5C04C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C04C6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5C04C6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5C04C6" w:rsidRDefault="009E03A3" w:rsidP="008A02A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O </w:t>
      </w:r>
      <w:r w:rsidR="008C70F1" w:rsidRPr="005C04C6">
        <w:rPr>
          <w:rFonts w:ascii="Palatino Linotype" w:hAnsi="Palatino Linotype"/>
          <w:sz w:val="24"/>
          <w:szCs w:val="24"/>
        </w:rPr>
        <w:t xml:space="preserve">Poder </w:t>
      </w:r>
      <w:r w:rsidRPr="005C04C6">
        <w:rPr>
          <w:rFonts w:ascii="Palatino Linotype" w:hAnsi="Palatino Linotype"/>
          <w:sz w:val="24"/>
          <w:szCs w:val="24"/>
        </w:rPr>
        <w:t xml:space="preserve">Executivo Municipal apresentou o Projeto de Lei </w:t>
      </w:r>
      <w:r w:rsidR="00956DE0">
        <w:rPr>
          <w:rFonts w:ascii="Palatino Linotype" w:hAnsi="Palatino Linotype"/>
          <w:sz w:val="24"/>
          <w:szCs w:val="24"/>
        </w:rPr>
        <w:t xml:space="preserve">do Executivo </w:t>
      </w:r>
      <w:r w:rsidRPr="005C04C6">
        <w:rPr>
          <w:rFonts w:ascii="Palatino Linotype" w:hAnsi="Palatino Linotype"/>
          <w:sz w:val="24"/>
          <w:szCs w:val="24"/>
        </w:rPr>
        <w:t xml:space="preserve">nº </w:t>
      </w:r>
      <w:r w:rsidR="00E61B34" w:rsidRPr="005C04C6">
        <w:rPr>
          <w:rFonts w:ascii="Palatino Linotype" w:hAnsi="Palatino Linotype"/>
          <w:sz w:val="24"/>
          <w:szCs w:val="24"/>
        </w:rPr>
        <w:t>0</w:t>
      </w:r>
      <w:r w:rsidR="00645AEA">
        <w:rPr>
          <w:rFonts w:ascii="Palatino Linotype" w:hAnsi="Palatino Linotype"/>
          <w:sz w:val="24"/>
          <w:szCs w:val="24"/>
        </w:rPr>
        <w:t>26</w:t>
      </w:r>
      <w:r w:rsidR="00E61B34" w:rsidRPr="005C04C6">
        <w:rPr>
          <w:rFonts w:ascii="Palatino Linotype" w:hAnsi="Palatino Linotype"/>
          <w:sz w:val="24"/>
          <w:szCs w:val="24"/>
        </w:rPr>
        <w:t>/202</w:t>
      </w:r>
      <w:r w:rsidR="00645AEA">
        <w:rPr>
          <w:rFonts w:ascii="Palatino Linotype" w:hAnsi="Palatino Linotype"/>
          <w:sz w:val="24"/>
          <w:szCs w:val="24"/>
        </w:rPr>
        <w:t>4</w:t>
      </w:r>
      <w:r w:rsidRPr="005C04C6">
        <w:rPr>
          <w:rFonts w:ascii="Palatino Linotype" w:hAnsi="Palatino Linotype"/>
          <w:sz w:val="24"/>
          <w:szCs w:val="24"/>
        </w:rPr>
        <w:t xml:space="preserve"> à Câmara Municipal</w:t>
      </w:r>
      <w:r w:rsidR="008138B2" w:rsidRPr="005C04C6">
        <w:rPr>
          <w:rFonts w:ascii="Palatino Linotype" w:hAnsi="Palatino Linotype"/>
          <w:sz w:val="24"/>
          <w:szCs w:val="24"/>
        </w:rPr>
        <w:t>,</w:t>
      </w:r>
      <w:r w:rsidR="008C70F1" w:rsidRPr="005C04C6">
        <w:rPr>
          <w:rFonts w:ascii="Palatino Linotype" w:hAnsi="Palatino Linotype"/>
          <w:sz w:val="24"/>
          <w:szCs w:val="24"/>
        </w:rPr>
        <w:t xml:space="preserve"> o qual “</w:t>
      </w:r>
      <w:r w:rsidR="00645AEA" w:rsidRPr="00645AEA">
        <w:rPr>
          <w:rFonts w:ascii="Palatino Linotype" w:hAnsi="Palatino Linotype"/>
          <w:sz w:val="24"/>
          <w:szCs w:val="24"/>
        </w:rPr>
        <w:t>Acrescenta uma vaga para o cargo de Médico Psiquiatra, constante na Lei Municipal n.º 1.116/1993, que reorganiza no serviço p</w:t>
      </w:r>
      <w:r w:rsidR="00645AEA" w:rsidRPr="00645AEA">
        <w:rPr>
          <w:rFonts w:ascii="Palatino Linotype" w:hAnsi="Palatino Linotype"/>
          <w:sz w:val="24"/>
          <w:szCs w:val="24"/>
        </w:rPr>
        <w:t>ú</w:t>
      </w:r>
      <w:r w:rsidR="00645AEA" w:rsidRPr="00645AEA">
        <w:rPr>
          <w:rFonts w:ascii="Palatino Linotype" w:hAnsi="Palatino Linotype"/>
          <w:sz w:val="24"/>
          <w:szCs w:val="24"/>
        </w:rPr>
        <w:t>blico municipal de Guaíba o plano classificado de cargos e dá outras providências.</w:t>
      </w:r>
      <w:r w:rsidR="008C70F1" w:rsidRPr="005C04C6">
        <w:rPr>
          <w:rFonts w:ascii="Palatino Linotype" w:hAnsi="Palatino Linotype"/>
          <w:sz w:val="24"/>
          <w:szCs w:val="24"/>
        </w:rPr>
        <w:t>”</w:t>
      </w:r>
      <w:r w:rsidR="00E61B34" w:rsidRPr="005C04C6">
        <w:rPr>
          <w:rFonts w:ascii="Palatino Linotype" w:hAnsi="Palatino Linotype"/>
          <w:sz w:val="24"/>
          <w:szCs w:val="24"/>
        </w:rPr>
        <w:t>.</w:t>
      </w:r>
      <w:r w:rsidR="00CF77C8" w:rsidRPr="005C04C6">
        <w:rPr>
          <w:rFonts w:ascii="Palatino Linotype" w:hAnsi="Palatino Linotype"/>
          <w:sz w:val="24"/>
          <w:szCs w:val="24"/>
        </w:rPr>
        <w:t xml:space="preserve"> </w:t>
      </w:r>
      <w:r w:rsidR="00E61B34" w:rsidRPr="005C04C6">
        <w:rPr>
          <w:rFonts w:ascii="Palatino Linotype" w:hAnsi="Palatino Linotype"/>
          <w:sz w:val="24"/>
          <w:szCs w:val="24"/>
        </w:rPr>
        <w:t xml:space="preserve">A proposta foi encaminhada à Procuradoria para análise nos termos do artigo </w:t>
      </w:r>
      <w:r w:rsidR="00C30CFC">
        <w:rPr>
          <w:rFonts w:ascii="Palatino Linotype" w:hAnsi="Palatino Linotype"/>
          <w:sz w:val="24"/>
          <w:szCs w:val="24"/>
        </w:rPr>
        <w:t>94</w:t>
      </w:r>
      <w:r w:rsidR="00E61B34" w:rsidRPr="005C04C6">
        <w:rPr>
          <w:rFonts w:ascii="Palatino Linotype" w:hAnsi="Palatino Linotype"/>
          <w:sz w:val="24"/>
          <w:szCs w:val="24"/>
        </w:rPr>
        <w:t xml:space="preserve"> do Regimento Interno.</w:t>
      </w:r>
    </w:p>
    <w:p w:rsidR="008138B2" w:rsidRPr="005C04C6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61B34" w:rsidRPr="005C04C6" w:rsidRDefault="00E61B34" w:rsidP="00E61B3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Times New Roman"/>
          <w:b/>
          <w:sz w:val="24"/>
          <w:szCs w:val="24"/>
        </w:rPr>
      </w:pPr>
      <w:r w:rsidRPr="005C04C6">
        <w:rPr>
          <w:rFonts w:ascii="Palatino Linotype" w:hAnsi="Palatino Linotype" w:cs="Times New Roman"/>
          <w:b/>
          <w:sz w:val="24"/>
          <w:szCs w:val="24"/>
        </w:rPr>
        <w:t>MÉRITO</w:t>
      </w:r>
    </w:p>
    <w:p w:rsidR="00E61B34" w:rsidRPr="005C04C6" w:rsidRDefault="00E61B34" w:rsidP="00E61B34">
      <w:pPr>
        <w:spacing w:after="0" w:line="360" w:lineRule="auto"/>
        <w:jc w:val="both"/>
        <w:rPr>
          <w:rFonts w:ascii="Palatino Linotype" w:hAnsi="Palatino Linotype" w:cs="Times New Roman"/>
          <w:b/>
          <w:sz w:val="24"/>
          <w:szCs w:val="24"/>
        </w:rPr>
      </w:pPr>
    </w:p>
    <w:p w:rsidR="00EC3378" w:rsidRPr="005C04C6" w:rsidRDefault="00170F27" w:rsidP="00EC33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V</w:t>
      </w:r>
      <w:r w:rsidR="00EC3378" w:rsidRPr="005C04C6">
        <w:rPr>
          <w:rFonts w:ascii="Palatino Linotype" w:hAnsi="Palatino Linotype"/>
          <w:sz w:val="24"/>
          <w:szCs w:val="24"/>
        </w:rPr>
        <w:t>erifica-se estar adequada a iniciativa para a deflagração do processo l</w:t>
      </w:r>
      <w:r w:rsidR="00EC3378" w:rsidRPr="005C04C6">
        <w:rPr>
          <w:rFonts w:ascii="Palatino Linotype" w:hAnsi="Palatino Linotype"/>
          <w:sz w:val="24"/>
          <w:szCs w:val="24"/>
        </w:rPr>
        <w:t>e</w:t>
      </w:r>
      <w:r w:rsidR="00EC3378" w:rsidRPr="005C04C6">
        <w:rPr>
          <w:rFonts w:ascii="Palatino Linotype" w:hAnsi="Palatino Linotype"/>
          <w:sz w:val="24"/>
          <w:szCs w:val="24"/>
        </w:rPr>
        <w:t xml:space="preserve">gislativo, uma vez que o projeto de lei apresentado propõe </w:t>
      </w:r>
      <w:r w:rsidRPr="005C04C6">
        <w:rPr>
          <w:rFonts w:ascii="Palatino Linotype" w:hAnsi="Palatino Linotype"/>
          <w:sz w:val="24"/>
          <w:szCs w:val="24"/>
        </w:rPr>
        <w:t xml:space="preserve">o acréscimo de </w:t>
      </w:r>
      <w:r w:rsidR="00645AEA">
        <w:rPr>
          <w:rFonts w:ascii="Palatino Linotype" w:hAnsi="Palatino Linotype"/>
          <w:sz w:val="24"/>
          <w:szCs w:val="24"/>
        </w:rPr>
        <w:t xml:space="preserve">uma vaga de Médico Psiquiatra </w:t>
      </w:r>
      <w:r w:rsidR="00C30CFC" w:rsidRPr="00956DE0">
        <w:rPr>
          <w:rFonts w:ascii="Palatino Linotype" w:hAnsi="Palatino Linotype"/>
          <w:sz w:val="24"/>
          <w:szCs w:val="24"/>
        </w:rPr>
        <w:t>ao quadro permanente de cargos,</w:t>
      </w:r>
      <w:r w:rsidRPr="005C04C6">
        <w:rPr>
          <w:rFonts w:ascii="Palatino Linotype" w:hAnsi="Palatino Linotype"/>
          <w:sz w:val="24"/>
          <w:szCs w:val="24"/>
        </w:rPr>
        <w:t xml:space="preserve"> no quadro de cargos estab</w:t>
      </w:r>
      <w:r w:rsidRPr="005C04C6">
        <w:rPr>
          <w:rFonts w:ascii="Palatino Linotype" w:hAnsi="Palatino Linotype"/>
          <w:sz w:val="24"/>
          <w:szCs w:val="24"/>
        </w:rPr>
        <w:t>e</w:t>
      </w:r>
      <w:r w:rsidRPr="005C04C6">
        <w:rPr>
          <w:rFonts w:ascii="Palatino Linotype" w:hAnsi="Palatino Linotype"/>
          <w:sz w:val="24"/>
          <w:szCs w:val="24"/>
        </w:rPr>
        <w:t xml:space="preserve">lecido no </w:t>
      </w:r>
      <w:r w:rsidR="00645AEA">
        <w:rPr>
          <w:rFonts w:ascii="Palatino Linotype" w:hAnsi="Palatino Linotype"/>
          <w:sz w:val="24"/>
          <w:szCs w:val="24"/>
        </w:rPr>
        <w:t xml:space="preserve">inciso II do </w:t>
      </w:r>
      <w:r w:rsidRPr="005C04C6">
        <w:rPr>
          <w:rFonts w:ascii="Palatino Linotype" w:hAnsi="Palatino Linotype"/>
          <w:sz w:val="24"/>
          <w:szCs w:val="24"/>
        </w:rPr>
        <w:t>art. 14 da Lei Municipal nº 1.116/93, o que está sob a reserva de in</w:t>
      </w:r>
      <w:r w:rsidRPr="005C04C6">
        <w:rPr>
          <w:rFonts w:ascii="Palatino Linotype" w:hAnsi="Palatino Linotype"/>
          <w:sz w:val="24"/>
          <w:szCs w:val="24"/>
        </w:rPr>
        <w:t>i</w:t>
      </w:r>
      <w:r w:rsidRPr="005C04C6">
        <w:rPr>
          <w:rFonts w:ascii="Palatino Linotype" w:hAnsi="Palatino Linotype"/>
          <w:sz w:val="24"/>
          <w:szCs w:val="24"/>
        </w:rPr>
        <w:t>ciativa do Chefe do Poder Executivo, disposta de modo originário no art. 61, § 1º, da CF/88, aplicável por simetria aos d</w:t>
      </w:r>
      <w:r w:rsidRPr="005C04C6">
        <w:rPr>
          <w:rFonts w:ascii="Palatino Linotype" w:hAnsi="Palatino Linotype"/>
          <w:sz w:val="24"/>
          <w:szCs w:val="24"/>
        </w:rPr>
        <w:t>e</w:t>
      </w:r>
      <w:r w:rsidRPr="005C04C6">
        <w:rPr>
          <w:rFonts w:ascii="Palatino Linotype" w:hAnsi="Palatino Linotype"/>
          <w:sz w:val="24"/>
          <w:szCs w:val="24"/>
        </w:rPr>
        <w:t>mais entes:</w:t>
      </w:r>
    </w:p>
    <w:p w:rsidR="00EC3378" w:rsidRPr="005C04C6" w:rsidRDefault="00EC3378" w:rsidP="00EC33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Art. 61. A iniciativa das leis complementares e ordinárias cabe a qualquer membro ou Comissão da Câmara dos Deputados, do Senado Federal ou do Congresso Nacional, ao Presidente da República, ao Supremo Tribunal F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e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deral, aos Tribunais Superiores, ao Procurador-Geral da República e aos c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i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dadãos, na forma e nos casos previstos nesta Constituição.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§ 1º São de iniciativa privativa do Presidente da República as leis que: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I - fixem ou modifiquem os efetivos das Forças Armadas;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II - disponham sobre: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b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b/>
          <w:color w:val="000000"/>
          <w:sz w:val="20"/>
          <w:szCs w:val="20"/>
        </w:rPr>
        <w:t>a) criação de cargos, funções ou empregos públicos na administração dir</w:t>
      </w:r>
      <w:r w:rsidRPr="005C04C6">
        <w:rPr>
          <w:rFonts w:ascii="Palatino Linotype" w:hAnsi="Palatino Linotype" w:cs="Arial"/>
          <w:b/>
          <w:color w:val="000000"/>
          <w:sz w:val="20"/>
          <w:szCs w:val="20"/>
        </w:rPr>
        <w:t>e</w:t>
      </w:r>
      <w:r w:rsidRPr="005C04C6">
        <w:rPr>
          <w:rFonts w:ascii="Palatino Linotype" w:hAnsi="Palatino Linotype" w:cs="Arial"/>
          <w:b/>
          <w:color w:val="000000"/>
          <w:sz w:val="20"/>
          <w:szCs w:val="20"/>
        </w:rPr>
        <w:t>ta e autárquica ou aumento de sua remuneração;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b) organização administrativa e judiciária, matéria tributária e orçamentária, serviços públicos e pessoal da administração dos Territórios;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lastRenderedPageBreak/>
        <w:t>c) servidores públicos da União e Territórios, seu regime jurídico, provime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n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to de cargos, estabilidade e aposentadoria;</w:t>
      </w:r>
      <w:r w:rsidRPr="005C04C6">
        <w:rPr>
          <w:rFonts w:ascii="Palatino Linotype" w:hAnsi="Palatino Linotype" w:cs="Arial"/>
          <w:color w:val="0000FF"/>
          <w:sz w:val="20"/>
          <w:szCs w:val="20"/>
        </w:rPr>
        <w:t> 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(Redação dada pela Emenda Constitucional nº 18, de 1998)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d) organização do Ministério Público e da Defensoria Pública da União, bem como normas gerais para a organização do Ministério Público e da Defens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o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ria Pública dos Estados, do Distrito Federal e dos Territórios;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e) criação e extinção de Ministérios e órgãos da administração pública, o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b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servado</w:t>
      </w:r>
      <w:r w:rsidRPr="005C04C6">
        <w:rPr>
          <w:rFonts w:ascii="Palatino Linotype" w:hAnsi="Palatino Linotype" w:cs="Arial"/>
          <w:i/>
          <w:iCs/>
          <w:color w:val="000000"/>
          <w:sz w:val="20"/>
          <w:szCs w:val="20"/>
        </w:rPr>
        <w:t> 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o disposto no art. 84, VI</w:t>
      </w:r>
      <w:r w:rsidRPr="005C04C6">
        <w:rPr>
          <w:rFonts w:ascii="Palatino Linotype" w:hAnsi="Palatino Linotype" w:cs="Arial"/>
          <w:i/>
          <w:iCs/>
          <w:color w:val="000000"/>
          <w:sz w:val="20"/>
          <w:szCs w:val="20"/>
        </w:rPr>
        <w:t>;  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(Redação dada pela Emenda Constituci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o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nal nº 32, de 2001)</w:t>
      </w:r>
    </w:p>
    <w:p w:rsidR="00EC3378" w:rsidRPr="005C04C6" w:rsidRDefault="00EC3378" w:rsidP="00EC3378">
      <w:pPr>
        <w:pStyle w:val="NormalWeb"/>
        <w:spacing w:before="0" w:beforeAutospacing="0" w:after="0" w:afterAutospacing="0"/>
        <w:ind w:left="2268"/>
        <w:jc w:val="both"/>
        <w:rPr>
          <w:rFonts w:ascii="Palatino Linotype" w:hAnsi="Palatino Linotype"/>
          <w:color w:val="000000"/>
          <w:sz w:val="20"/>
          <w:szCs w:val="20"/>
        </w:rPr>
      </w:pPr>
      <w:r w:rsidRPr="005C04C6">
        <w:rPr>
          <w:rFonts w:ascii="Palatino Linotype" w:hAnsi="Palatino Linotype" w:cs="Arial"/>
          <w:color w:val="000000"/>
          <w:sz w:val="20"/>
          <w:szCs w:val="20"/>
        </w:rPr>
        <w:t>f) militares das Forças Armadas, seu regime jurídico, provimento de cargos, promoções, estabilidade, remuneração, reforma e transferência para a rese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r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va.</w:t>
      </w:r>
      <w:r w:rsidRPr="005C04C6">
        <w:rPr>
          <w:rFonts w:ascii="Palatino Linotype" w:hAnsi="Palatino Linotype" w:cs="Arial"/>
          <w:color w:val="FF0000"/>
          <w:sz w:val="20"/>
          <w:szCs w:val="20"/>
        </w:rPr>
        <w:t> </w:t>
      </w:r>
      <w:r w:rsidRPr="005C04C6">
        <w:rPr>
          <w:rFonts w:ascii="Palatino Linotype" w:hAnsi="Palatino Linotype" w:cs="Arial"/>
          <w:color w:val="000000"/>
          <w:sz w:val="20"/>
          <w:szCs w:val="20"/>
        </w:rPr>
        <w:t>(Incluída pela Emenda Constitucional nº 18, de 1998)</w:t>
      </w:r>
    </w:p>
    <w:p w:rsidR="00EC3378" w:rsidRPr="005C04C6" w:rsidRDefault="00EC3378" w:rsidP="00EC33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Para os fins do direito municipal, mais relevante ainda é a observância das normas previstas na Constituição Estadual no que diz respeito à iniciativa para o processo legislativo, uma vez que, em caso de eventual controle de constitucional</w:t>
      </w:r>
      <w:r w:rsidRPr="005C04C6">
        <w:rPr>
          <w:rFonts w:ascii="Palatino Linotype" w:hAnsi="Palatino Linotype"/>
          <w:sz w:val="24"/>
          <w:szCs w:val="24"/>
        </w:rPr>
        <w:t>i</w:t>
      </w:r>
      <w:r w:rsidRPr="005C04C6">
        <w:rPr>
          <w:rFonts w:ascii="Palatino Linotype" w:hAnsi="Palatino Linotype"/>
          <w:sz w:val="24"/>
          <w:szCs w:val="24"/>
        </w:rPr>
        <w:t>dade, o parâmetro para a análise da conformidade vertical se dá em relação ao di</w:t>
      </w:r>
      <w:r w:rsidRPr="005C04C6">
        <w:rPr>
          <w:rFonts w:ascii="Palatino Linotype" w:hAnsi="Palatino Linotype"/>
          <w:sz w:val="24"/>
          <w:szCs w:val="24"/>
        </w:rPr>
        <w:t>s</w:t>
      </w:r>
      <w:r w:rsidRPr="005C04C6">
        <w:rPr>
          <w:rFonts w:ascii="Palatino Linotype" w:hAnsi="Palatino Linotype"/>
          <w:sz w:val="24"/>
          <w:szCs w:val="24"/>
        </w:rPr>
        <w:t>posto na Constituição Gaúcha, conforme prev</w:t>
      </w:r>
      <w:r w:rsidR="00170F27" w:rsidRPr="005C04C6">
        <w:rPr>
          <w:rFonts w:ascii="Palatino Linotype" w:hAnsi="Palatino Linotype"/>
          <w:sz w:val="24"/>
          <w:szCs w:val="24"/>
        </w:rPr>
        <w:t>eem</w:t>
      </w:r>
      <w:r w:rsidRPr="005C04C6">
        <w:rPr>
          <w:rFonts w:ascii="Palatino Linotype" w:hAnsi="Palatino Linotype"/>
          <w:sz w:val="24"/>
          <w:szCs w:val="24"/>
        </w:rPr>
        <w:t xml:space="preserve"> o artigo 125, § 2º, da CF</w:t>
      </w:r>
      <w:r w:rsidR="00170F27" w:rsidRPr="005C04C6">
        <w:rPr>
          <w:rFonts w:ascii="Palatino Linotype" w:hAnsi="Palatino Linotype"/>
          <w:sz w:val="24"/>
          <w:szCs w:val="24"/>
        </w:rPr>
        <w:t>/88</w:t>
      </w:r>
      <w:r w:rsidRPr="005C04C6">
        <w:rPr>
          <w:rFonts w:ascii="Palatino Linotype" w:hAnsi="Palatino Linotype"/>
          <w:sz w:val="24"/>
          <w:szCs w:val="24"/>
        </w:rPr>
        <w:t xml:space="preserve"> e</w:t>
      </w:r>
      <w:r w:rsidR="00170F27" w:rsidRPr="005C04C6">
        <w:rPr>
          <w:rFonts w:ascii="Palatino Linotype" w:hAnsi="Palatino Linotype"/>
          <w:sz w:val="24"/>
          <w:szCs w:val="24"/>
        </w:rPr>
        <w:t xml:space="preserve"> o</w:t>
      </w:r>
      <w:r w:rsidRPr="005C04C6">
        <w:rPr>
          <w:rFonts w:ascii="Palatino Linotype" w:hAnsi="Palatino Linotype"/>
          <w:sz w:val="24"/>
          <w:szCs w:val="24"/>
        </w:rPr>
        <w:t xml:space="preserve"> a</w:t>
      </w:r>
      <w:r w:rsidRPr="005C04C6">
        <w:rPr>
          <w:rFonts w:ascii="Palatino Linotype" w:hAnsi="Palatino Linotype"/>
          <w:sz w:val="24"/>
          <w:szCs w:val="24"/>
        </w:rPr>
        <w:t>r</w:t>
      </w:r>
      <w:r w:rsidRPr="005C04C6">
        <w:rPr>
          <w:rFonts w:ascii="Palatino Linotype" w:hAnsi="Palatino Linotype"/>
          <w:sz w:val="24"/>
          <w:szCs w:val="24"/>
        </w:rPr>
        <w:t>tigo 95, XII, alínea “d”, da CE</w:t>
      </w:r>
      <w:r w:rsidR="00170F27" w:rsidRPr="005C04C6">
        <w:rPr>
          <w:rFonts w:ascii="Palatino Linotype" w:hAnsi="Palatino Linotype"/>
          <w:sz w:val="24"/>
          <w:szCs w:val="24"/>
        </w:rPr>
        <w:t>/RS</w:t>
      </w:r>
      <w:r w:rsidRPr="005C04C6">
        <w:rPr>
          <w:rFonts w:ascii="Palatino Linotype" w:hAnsi="Palatino Linotype"/>
          <w:sz w:val="24"/>
          <w:szCs w:val="24"/>
        </w:rPr>
        <w:t>. Apenas excepcionalmente o parâmetro da const</w:t>
      </w:r>
      <w:r w:rsidRPr="005C04C6">
        <w:rPr>
          <w:rFonts w:ascii="Palatino Linotype" w:hAnsi="Palatino Linotype"/>
          <w:sz w:val="24"/>
          <w:szCs w:val="24"/>
        </w:rPr>
        <w:t>i</w:t>
      </w:r>
      <w:r w:rsidRPr="005C04C6">
        <w:rPr>
          <w:rFonts w:ascii="Palatino Linotype" w:hAnsi="Palatino Linotype"/>
          <w:sz w:val="24"/>
          <w:szCs w:val="24"/>
        </w:rPr>
        <w:t>tucionalidade será a C</w:t>
      </w:r>
      <w:r w:rsidR="00170F27" w:rsidRPr="005C04C6">
        <w:rPr>
          <w:rFonts w:ascii="Palatino Linotype" w:hAnsi="Palatino Linotype"/>
          <w:sz w:val="24"/>
          <w:szCs w:val="24"/>
        </w:rPr>
        <w:t>F/88</w:t>
      </w:r>
      <w:r w:rsidRPr="005C04C6">
        <w:rPr>
          <w:rFonts w:ascii="Palatino Linotype" w:hAnsi="Palatino Linotype"/>
          <w:sz w:val="24"/>
          <w:szCs w:val="24"/>
        </w:rPr>
        <w:t>, desde que se trate de normas constitucionais de reprod</w:t>
      </w:r>
      <w:r w:rsidRPr="005C04C6">
        <w:rPr>
          <w:rFonts w:ascii="Palatino Linotype" w:hAnsi="Palatino Linotype"/>
          <w:sz w:val="24"/>
          <w:szCs w:val="24"/>
        </w:rPr>
        <w:t>u</w:t>
      </w:r>
      <w:r w:rsidRPr="005C04C6">
        <w:rPr>
          <w:rFonts w:ascii="Palatino Linotype" w:hAnsi="Palatino Linotype"/>
          <w:sz w:val="24"/>
          <w:szCs w:val="24"/>
        </w:rPr>
        <w:t>ção obrigatória (STF, RE nº 650.898/RS). Nesse caso, refere o artigo 60 da Constituição Estadual:</w:t>
      </w: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Art. 60.  São de iniciativa privativa do Governador do Estado as leis que: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 - fixem ou modifiquem os efetivos da Brigada Militar e do Corpo de Bo</w:t>
      </w:r>
      <w:r w:rsidRPr="005C04C6">
        <w:rPr>
          <w:rFonts w:ascii="Palatino Linotype" w:hAnsi="Palatino Linotype"/>
          <w:sz w:val="20"/>
          <w:szCs w:val="20"/>
        </w:rPr>
        <w:t>m</w:t>
      </w:r>
      <w:r w:rsidRPr="005C04C6">
        <w:rPr>
          <w:rFonts w:ascii="Palatino Linotype" w:hAnsi="Palatino Linotype"/>
          <w:sz w:val="20"/>
          <w:szCs w:val="20"/>
        </w:rPr>
        <w:t>beiros Militar; (Redação dada pela Emenda Constitucional n.º 67, de 17/06/14)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 - disponham sobre: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a) criação e aumento da remuneração de cargos, funções ou empregos p</w:t>
      </w:r>
      <w:r w:rsidRPr="005C04C6">
        <w:rPr>
          <w:rFonts w:ascii="Palatino Linotype" w:hAnsi="Palatino Linotype"/>
          <w:b/>
          <w:sz w:val="20"/>
          <w:szCs w:val="20"/>
        </w:rPr>
        <w:t>ú</w:t>
      </w:r>
      <w:r w:rsidRPr="005C04C6">
        <w:rPr>
          <w:rFonts w:ascii="Palatino Linotype" w:hAnsi="Palatino Linotype"/>
          <w:b/>
          <w:sz w:val="20"/>
          <w:szCs w:val="20"/>
        </w:rPr>
        <w:t>blicos na administração direta ou autárquica;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b) servidores públicos do Estado, seu regime jurídico, provimento de cargos, estabilidade e aposentadoria de civis, e reforma ou transferência de militares para a inatividade;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c) organização da Defensoria Pública do Estado;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d) criação, estruturação e atribuições das Secretarias e órgãos da administr</w:t>
      </w:r>
      <w:r w:rsidRPr="005C04C6">
        <w:rPr>
          <w:rFonts w:ascii="Palatino Linotype" w:hAnsi="Palatino Linotype"/>
          <w:sz w:val="20"/>
          <w:szCs w:val="20"/>
        </w:rPr>
        <w:t>a</w:t>
      </w:r>
      <w:r w:rsidRPr="005C04C6">
        <w:rPr>
          <w:rFonts w:ascii="Palatino Linotype" w:hAnsi="Palatino Linotype"/>
          <w:sz w:val="20"/>
          <w:szCs w:val="20"/>
        </w:rPr>
        <w:t>ção pública.</w:t>
      </w:r>
    </w:p>
    <w:p w:rsidR="00803B27" w:rsidRPr="005C04C6" w:rsidRDefault="00803B27" w:rsidP="00EC33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C3378" w:rsidRPr="005C04C6" w:rsidRDefault="00EC3378" w:rsidP="00EC33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No âmbito municipal, a Lei Orgânica </w:t>
      </w:r>
      <w:r w:rsidR="00170F27" w:rsidRPr="005C04C6">
        <w:rPr>
          <w:rFonts w:ascii="Palatino Linotype" w:hAnsi="Palatino Linotype"/>
          <w:sz w:val="24"/>
          <w:szCs w:val="24"/>
        </w:rPr>
        <w:t>dispõe no art. 119:</w:t>
      </w:r>
    </w:p>
    <w:p w:rsidR="00EC3378" w:rsidRPr="005C04C6" w:rsidRDefault="00EC3378" w:rsidP="00EC337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70F27" w:rsidRPr="005C04C6" w:rsidRDefault="00170F27" w:rsidP="00170F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  <w:shd w:val="clear" w:color="auto" w:fill="FFFFFF"/>
        </w:rPr>
      </w:pP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lastRenderedPageBreak/>
        <w:t>Art. 119 É competência exclusiva do Prefeito a iniciativa dos projetos de lei que disponham sobre:</w:t>
      </w:r>
    </w:p>
    <w:p w:rsidR="00170F27" w:rsidRPr="005C04C6" w:rsidRDefault="00170F27" w:rsidP="00170F27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  <w:shd w:val="clear" w:color="auto" w:fill="FFFFFF"/>
        </w:rPr>
      </w:pPr>
      <w:r w:rsidRPr="005C04C6">
        <w:rPr>
          <w:rFonts w:ascii="Palatino Linotype" w:hAnsi="Palatino Linotype"/>
          <w:b/>
          <w:sz w:val="20"/>
          <w:szCs w:val="20"/>
          <w:shd w:val="clear" w:color="auto" w:fill="FFFFFF"/>
        </w:rPr>
        <w:t>I - criação de cargos, funções ou empregos públicos na administração dir</w:t>
      </w:r>
      <w:r w:rsidRPr="005C04C6">
        <w:rPr>
          <w:rFonts w:ascii="Palatino Linotype" w:hAnsi="Palatino Linotype"/>
          <w:b/>
          <w:sz w:val="20"/>
          <w:szCs w:val="20"/>
          <w:shd w:val="clear" w:color="auto" w:fill="FFFFFF"/>
        </w:rPr>
        <w:t>e</w:t>
      </w:r>
      <w:r w:rsidRPr="005C04C6">
        <w:rPr>
          <w:rFonts w:ascii="Palatino Linotype" w:hAnsi="Palatino Linotype"/>
          <w:b/>
          <w:sz w:val="20"/>
          <w:szCs w:val="20"/>
          <w:shd w:val="clear" w:color="auto" w:fill="FFFFFF"/>
        </w:rPr>
        <w:t>ta e autárquica ou aumento de sua remuneração;</w:t>
      </w:r>
    </w:p>
    <w:p w:rsidR="00170F27" w:rsidRPr="005C04C6" w:rsidRDefault="00170F27" w:rsidP="00170F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  <w:shd w:val="clear" w:color="auto" w:fill="FFFFFF"/>
        </w:rPr>
      </w:pP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II - organização administrativa, matéria orçamentária e serviços públicos;</w:t>
      </w:r>
    </w:p>
    <w:p w:rsidR="00170F27" w:rsidRPr="005C04C6" w:rsidRDefault="00170F27" w:rsidP="00170F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  <w:shd w:val="clear" w:color="auto" w:fill="FFFFFF"/>
        </w:rPr>
      </w:pP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III - servidores públicos, seu regime jurídico, provimento de cargos, estabil</w:t>
      </w: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i</w:t>
      </w: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dade e aposentadoria;</w:t>
      </w:r>
    </w:p>
    <w:p w:rsidR="00E61B34" w:rsidRPr="005C04C6" w:rsidRDefault="00170F27" w:rsidP="00170F27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IV - criação e extinção de Secretarias e órgãos da administração pública. (R</w:t>
      </w: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e</w:t>
      </w:r>
      <w:r w:rsidRPr="005C04C6">
        <w:rPr>
          <w:rFonts w:ascii="Palatino Linotype" w:hAnsi="Palatino Linotype"/>
          <w:sz w:val="20"/>
          <w:szCs w:val="20"/>
          <w:shd w:val="clear" w:color="auto" w:fill="FFFFFF"/>
        </w:rPr>
        <w:t>dação dada pela Emenda à Lei Orgânica nº 2/2017)</w:t>
      </w:r>
    </w:p>
    <w:p w:rsidR="00170F27" w:rsidRPr="005C04C6" w:rsidRDefault="00170F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007AC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Portanto, verifica-se ter sido respeitada a iniciativa para a propositura do Projeto de Lei</w:t>
      </w:r>
      <w:r w:rsidR="00C30CFC">
        <w:rPr>
          <w:rFonts w:ascii="Palatino Linotype" w:hAnsi="Palatino Linotype"/>
          <w:sz w:val="24"/>
          <w:szCs w:val="24"/>
        </w:rPr>
        <w:t xml:space="preserve"> do Executivo</w:t>
      </w:r>
      <w:r w:rsidRPr="005C04C6">
        <w:rPr>
          <w:rFonts w:ascii="Palatino Linotype" w:hAnsi="Palatino Linotype"/>
          <w:sz w:val="24"/>
          <w:szCs w:val="24"/>
        </w:rPr>
        <w:t xml:space="preserve"> nº </w:t>
      </w:r>
      <w:r w:rsidR="007A2BD8" w:rsidRPr="005C04C6">
        <w:rPr>
          <w:rFonts w:ascii="Palatino Linotype" w:hAnsi="Palatino Linotype"/>
          <w:sz w:val="24"/>
          <w:szCs w:val="24"/>
        </w:rPr>
        <w:t>0</w:t>
      </w:r>
      <w:r w:rsidR="00645AEA">
        <w:rPr>
          <w:rFonts w:ascii="Palatino Linotype" w:hAnsi="Palatino Linotype"/>
          <w:sz w:val="24"/>
          <w:szCs w:val="24"/>
        </w:rPr>
        <w:t>26</w:t>
      </w:r>
      <w:r w:rsidR="007A2BD8" w:rsidRPr="005C04C6">
        <w:rPr>
          <w:rFonts w:ascii="Palatino Linotype" w:hAnsi="Palatino Linotype"/>
          <w:sz w:val="24"/>
          <w:szCs w:val="24"/>
        </w:rPr>
        <w:t>/202</w:t>
      </w:r>
      <w:r w:rsidR="00645AEA">
        <w:rPr>
          <w:rFonts w:ascii="Palatino Linotype" w:hAnsi="Palatino Linotype"/>
          <w:sz w:val="24"/>
          <w:szCs w:val="24"/>
        </w:rPr>
        <w:t>4</w:t>
      </w:r>
      <w:r w:rsidRPr="005C04C6">
        <w:rPr>
          <w:rFonts w:ascii="Palatino Linotype" w:hAnsi="Palatino Linotype"/>
          <w:sz w:val="24"/>
          <w:szCs w:val="24"/>
        </w:rPr>
        <w:t xml:space="preserve">, </w:t>
      </w:r>
      <w:r w:rsidR="007A2BD8" w:rsidRPr="005C04C6">
        <w:rPr>
          <w:rFonts w:ascii="Palatino Linotype" w:hAnsi="Palatino Linotype"/>
          <w:sz w:val="24"/>
          <w:szCs w:val="24"/>
        </w:rPr>
        <w:t xml:space="preserve">pois </w:t>
      </w:r>
      <w:r w:rsidRPr="005C04C6">
        <w:rPr>
          <w:rFonts w:ascii="Palatino Linotype" w:hAnsi="Palatino Linotype"/>
          <w:sz w:val="24"/>
          <w:szCs w:val="24"/>
        </w:rPr>
        <w:t xml:space="preserve">apresentado pelo Executivo Municipal, enquanto responsável pela organização administrativa e pela </w:t>
      </w:r>
      <w:r w:rsidR="007A2BD8" w:rsidRPr="005C04C6">
        <w:rPr>
          <w:rFonts w:ascii="Palatino Linotype" w:hAnsi="Palatino Linotype"/>
          <w:sz w:val="24"/>
          <w:szCs w:val="24"/>
        </w:rPr>
        <w:t>disposição dos cargos públicos</w:t>
      </w:r>
      <w:r w:rsidRPr="005C04C6">
        <w:rPr>
          <w:rFonts w:ascii="Palatino Linotype" w:hAnsi="Palatino Linotype"/>
          <w:sz w:val="24"/>
          <w:szCs w:val="24"/>
        </w:rPr>
        <w:t>.</w:t>
      </w: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03B27" w:rsidRPr="005C04C6" w:rsidRDefault="007A2BD8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Em relação à competência legislativa, o</w:t>
      </w:r>
      <w:r w:rsidR="00803B27" w:rsidRPr="005C04C6">
        <w:rPr>
          <w:rFonts w:ascii="Palatino Linotype" w:hAnsi="Palatino Linotype"/>
          <w:sz w:val="24"/>
          <w:szCs w:val="24"/>
        </w:rPr>
        <w:t xml:space="preserve"> art</w:t>
      </w:r>
      <w:r w:rsidRPr="005C04C6">
        <w:rPr>
          <w:rFonts w:ascii="Palatino Linotype" w:hAnsi="Palatino Linotype"/>
          <w:sz w:val="24"/>
          <w:szCs w:val="24"/>
        </w:rPr>
        <w:t>.</w:t>
      </w:r>
      <w:r w:rsidR="00803B27" w:rsidRPr="005C04C6">
        <w:rPr>
          <w:rFonts w:ascii="Palatino Linotype" w:hAnsi="Palatino Linotype"/>
          <w:sz w:val="24"/>
          <w:szCs w:val="24"/>
        </w:rPr>
        <w:t xml:space="preserve"> 18 da C</w:t>
      </w:r>
      <w:r w:rsidRPr="005C04C6">
        <w:rPr>
          <w:rFonts w:ascii="Palatino Linotype" w:hAnsi="Palatino Linotype"/>
          <w:sz w:val="24"/>
          <w:szCs w:val="24"/>
        </w:rPr>
        <w:t>F/88</w:t>
      </w:r>
      <w:r w:rsidR="00803B27" w:rsidRPr="005C04C6">
        <w:rPr>
          <w:rFonts w:ascii="Palatino Linotype" w:hAnsi="Palatino Linotype"/>
          <w:sz w:val="24"/>
          <w:szCs w:val="24"/>
        </w:rPr>
        <w:t xml:space="preserve">, inaugurando o tema da organização do Estado, prevê que “A organização político-administrativa da República Federativa do Brasil compreende a União, os Estados, o Distrito Federal e os Municípios, </w:t>
      </w:r>
      <w:r w:rsidR="00803B27" w:rsidRPr="005C04C6">
        <w:rPr>
          <w:rFonts w:ascii="Palatino Linotype" w:hAnsi="Palatino Linotype"/>
          <w:b/>
          <w:sz w:val="24"/>
          <w:szCs w:val="24"/>
        </w:rPr>
        <w:t>todos autônomos</w:t>
      </w:r>
      <w:r w:rsidR="00803B27" w:rsidRPr="005C04C6">
        <w:rPr>
          <w:rFonts w:ascii="Palatino Linotype" w:hAnsi="Palatino Linotype"/>
          <w:sz w:val="24"/>
          <w:szCs w:val="24"/>
        </w:rPr>
        <w:t>, nos termos desta Constituição.” O termo auton</w:t>
      </w:r>
      <w:r w:rsidR="00803B27" w:rsidRPr="005C04C6">
        <w:rPr>
          <w:rFonts w:ascii="Palatino Linotype" w:hAnsi="Palatino Linotype"/>
          <w:sz w:val="24"/>
          <w:szCs w:val="24"/>
        </w:rPr>
        <w:t>o</w:t>
      </w:r>
      <w:r w:rsidR="00803B27" w:rsidRPr="005C04C6">
        <w:rPr>
          <w:rFonts w:ascii="Palatino Linotype" w:hAnsi="Palatino Linotype"/>
          <w:sz w:val="24"/>
          <w:szCs w:val="24"/>
        </w:rPr>
        <w:t xml:space="preserve">mia política, </w:t>
      </w:r>
      <w:r w:rsidRPr="005C04C6">
        <w:rPr>
          <w:rFonts w:ascii="Palatino Linotype" w:hAnsi="Palatino Linotype"/>
          <w:sz w:val="24"/>
          <w:szCs w:val="24"/>
        </w:rPr>
        <w:t xml:space="preserve">do </w:t>
      </w:r>
      <w:r w:rsidR="00803B27" w:rsidRPr="005C04C6">
        <w:rPr>
          <w:rFonts w:ascii="Palatino Linotype" w:hAnsi="Palatino Linotype"/>
          <w:sz w:val="24"/>
          <w:szCs w:val="24"/>
        </w:rPr>
        <w:t>ponto de vista jurídico, congrega um conjunto de capacidades conf</w:t>
      </w:r>
      <w:r w:rsidR="00803B27" w:rsidRPr="005C04C6">
        <w:rPr>
          <w:rFonts w:ascii="Palatino Linotype" w:hAnsi="Palatino Linotype"/>
          <w:sz w:val="24"/>
          <w:szCs w:val="24"/>
        </w:rPr>
        <w:t>e</w:t>
      </w:r>
      <w:r w:rsidR="00803B27" w:rsidRPr="005C04C6">
        <w:rPr>
          <w:rFonts w:ascii="Palatino Linotype" w:hAnsi="Palatino Linotype"/>
          <w:sz w:val="24"/>
          <w:szCs w:val="24"/>
        </w:rPr>
        <w:t>ridas aos entes federados para instituir sua organização, legislação, administração e governo próprios.</w:t>
      </w: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A autoadministração e a autolegislação, contemplando o conjunto de competências materiais e legislativas previstas na C</w:t>
      </w:r>
      <w:r w:rsidR="007A2BD8" w:rsidRPr="005C04C6">
        <w:rPr>
          <w:rFonts w:ascii="Palatino Linotype" w:hAnsi="Palatino Linotype"/>
          <w:sz w:val="24"/>
          <w:szCs w:val="24"/>
        </w:rPr>
        <w:t>F/88</w:t>
      </w:r>
      <w:r w:rsidRPr="005C04C6">
        <w:rPr>
          <w:rFonts w:ascii="Palatino Linotype" w:hAnsi="Palatino Linotype"/>
          <w:sz w:val="24"/>
          <w:szCs w:val="24"/>
        </w:rPr>
        <w:t xml:space="preserve"> para os </w:t>
      </w:r>
      <w:r w:rsidR="007A2BD8" w:rsidRPr="005C04C6">
        <w:rPr>
          <w:rFonts w:ascii="Palatino Linotype" w:hAnsi="Palatino Linotype"/>
          <w:sz w:val="24"/>
          <w:szCs w:val="24"/>
        </w:rPr>
        <w:t>M</w:t>
      </w:r>
      <w:r w:rsidRPr="005C04C6">
        <w:rPr>
          <w:rFonts w:ascii="Palatino Linotype" w:hAnsi="Palatino Linotype"/>
          <w:sz w:val="24"/>
          <w:szCs w:val="24"/>
        </w:rPr>
        <w:t>unicípios, é trat</w:t>
      </w:r>
      <w:r w:rsidRPr="005C04C6">
        <w:rPr>
          <w:rFonts w:ascii="Palatino Linotype" w:hAnsi="Palatino Linotype"/>
          <w:sz w:val="24"/>
          <w:szCs w:val="24"/>
        </w:rPr>
        <w:t>a</w:t>
      </w:r>
      <w:r w:rsidRPr="005C04C6">
        <w:rPr>
          <w:rFonts w:ascii="Palatino Linotype" w:hAnsi="Palatino Linotype"/>
          <w:sz w:val="24"/>
          <w:szCs w:val="24"/>
        </w:rPr>
        <w:t>da no artigo 30 da Lei Maior, nos seguintes termos:</w:t>
      </w: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Art. 30. Compete aos Municípios: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I - legislar sobre assuntos de interesse local;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 - suplementar a legislação federal e a estadual no que couber;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IV - criar, organizar e suprimir distritos, observada a legislação estadual;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lastRenderedPageBreak/>
        <w:t>V - organizar e prestar, diretamente ou sob regime de concessão ou permi</w:t>
      </w:r>
      <w:r w:rsidRPr="005C04C6">
        <w:rPr>
          <w:rFonts w:ascii="Palatino Linotype" w:hAnsi="Palatino Linotype"/>
          <w:sz w:val="20"/>
          <w:szCs w:val="20"/>
        </w:rPr>
        <w:t>s</w:t>
      </w:r>
      <w:r w:rsidRPr="005C04C6">
        <w:rPr>
          <w:rFonts w:ascii="Palatino Linotype" w:hAnsi="Palatino Linotype"/>
          <w:sz w:val="20"/>
          <w:szCs w:val="20"/>
        </w:rPr>
        <w:t>são, os serviços públicos de interesse local, incluído o de transporte coletivo, que tem caráter essencial;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VI - manter, com a cooperação técnica e financeira da União e do Estado, programas de educação infantil e de ensino fundamental; (Redação dada p</w:t>
      </w:r>
      <w:r w:rsidRPr="005C04C6">
        <w:rPr>
          <w:rFonts w:ascii="Palatino Linotype" w:hAnsi="Palatino Linotype"/>
          <w:sz w:val="20"/>
          <w:szCs w:val="20"/>
        </w:rPr>
        <w:t>e</w:t>
      </w:r>
      <w:r w:rsidRPr="005C04C6">
        <w:rPr>
          <w:rFonts w:ascii="Palatino Linotype" w:hAnsi="Palatino Linotype"/>
          <w:sz w:val="20"/>
          <w:szCs w:val="20"/>
        </w:rPr>
        <w:t>la Emenda Constitucional nº 53, de 2006)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VII - prestar, com a cooperação técnica e financeira da União e do Estado, serviços de atendimento à saúde da população;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VIII - promover, no que couber, adequado ordenamento territorial, mediante planejamento e controle do uso, do parcelamento e da ocupação do solo u</w:t>
      </w:r>
      <w:r w:rsidRPr="005C04C6">
        <w:rPr>
          <w:rFonts w:ascii="Palatino Linotype" w:hAnsi="Palatino Linotype"/>
          <w:sz w:val="20"/>
          <w:szCs w:val="20"/>
        </w:rPr>
        <w:t>r</w:t>
      </w:r>
      <w:r w:rsidRPr="005C04C6">
        <w:rPr>
          <w:rFonts w:ascii="Palatino Linotype" w:hAnsi="Palatino Linotype"/>
          <w:sz w:val="20"/>
          <w:szCs w:val="20"/>
        </w:rPr>
        <w:t>bano;</w:t>
      </w:r>
    </w:p>
    <w:p w:rsidR="00803B27" w:rsidRPr="005C04C6" w:rsidRDefault="00803B27" w:rsidP="00803B27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IX - promover a proteção do patrimônio histórico-cultural local, observada a legislação e a ação fiscalizadora federal e estadual.</w:t>
      </w:r>
    </w:p>
    <w:p w:rsidR="00803B27" w:rsidRPr="005C04C6" w:rsidRDefault="00803B27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A proposta se insere, efetivamente, na definição de interesse local. Isso porque acrescenta cargos públicos efetivos à estrutura administrativa do Poder Ex</w:t>
      </w:r>
      <w:r w:rsidRPr="005C04C6">
        <w:rPr>
          <w:rFonts w:ascii="Palatino Linotype" w:hAnsi="Palatino Linotype"/>
          <w:sz w:val="24"/>
          <w:szCs w:val="24"/>
        </w:rPr>
        <w:t>e</w:t>
      </w:r>
      <w:r w:rsidRPr="005C04C6">
        <w:rPr>
          <w:rFonts w:ascii="Palatino Linotype" w:hAnsi="Palatino Linotype"/>
          <w:sz w:val="24"/>
          <w:szCs w:val="24"/>
        </w:rPr>
        <w:t>cutivo, o que, de fato, é da competência legislativa municipal (art. 30, I, da CF/88).</w:t>
      </w:r>
    </w:p>
    <w:p w:rsidR="007A2BD8" w:rsidRPr="005C04C6" w:rsidRDefault="007A2BD8" w:rsidP="00803B2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Além do atendimento da competência e da iniciativa, o projeto que verse sobre a </w:t>
      </w:r>
      <w:r w:rsidR="00852F35" w:rsidRPr="005C04C6">
        <w:rPr>
          <w:rFonts w:ascii="Palatino Linotype" w:hAnsi="Palatino Linotype"/>
          <w:sz w:val="24"/>
          <w:szCs w:val="24"/>
        </w:rPr>
        <w:t>criação de cargos públicos</w:t>
      </w:r>
      <w:r w:rsidRPr="005C04C6">
        <w:rPr>
          <w:rFonts w:ascii="Palatino Linotype" w:hAnsi="Palatino Linotype"/>
          <w:sz w:val="24"/>
          <w:szCs w:val="24"/>
        </w:rPr>
        <w:t xml:space="preserve"> </w:t>
      </w:r>
      <w:r w:rsidR="0028506C" w:rsidRPr="005C04C6">
        <w:rPr>
          <w:rFonts w:ascii="Palatino Linotype" w:hAnsi="Palatino Linotype"/>
          <w:sz w:val="24"/>
          <w:szCs w:val="24"/>
        </w:rPr>
        <w:t>deve demonstrar o cumprimento dos</w:t>
      </w:r>
      <w:r w:rsidRPr="005C04C6">
        <w:rPr>
          <w:rFonts w:ascii="Palatino Linotype" w:hAnsi="Palatino Linotype"/>
          <w:sz w:val="24"/>
          <w:szCs w:val="24"/>
        </w:rPr>
        <w:t xml:space="preserve"> re</w:t>
      </w:r>
      <w:r w:rsidR="00852F35" w:rsidRPr="005C04C6">
        <w:rPr>
          <w:rFonts w:ascii="Palatino Linotype" w:hAnsi="Palatino Linotype"/>
          <w:sz w:val="24"/>
          <w:szCs w:val="24"/>
        </w:rPr>
        <w:t>q</w:t>
      </w:r>
      <w:r w:rsidRPr="005C04C6">
        <w:rPr>
          <w:rFonts w:ascii="Palatino Linotype" w:hAnsi="Palatino Linotype"/>
          <w:sz w:val="24"/>
          <w:szCs w:val="24"/>
        </w:rPr>
        <w:t xml:space="preserve">uisitos de </w:t>
      </w:r>
      <w:r w:rsidR="00852F35" w:rsidRPr="005C04C6">
        <w:rPr>
          <w:rFonts w:ascii="Palatino Linotype" w:hAnsi="Palatino Linotype"/>
          <w:sz w:val="24"/>
          <w:szCs w:val="24"/>
        </w:rPr>
        <w:t>viés</w:t>
      </w:r>
      <w:r w:rsidRPr="005C04C6">
        <w:rPr>
          <w:rFonts w:ascii="Palatino Linotype" w:hAnsi="Palatino Linotype"/>
          <w:sz w:val="24"/>
          <w:szCs w:val="24"/>
        </w:rPr>
        <w:t xml:space="preserve"> orçamentári</w:t>
      </w:r>
      <w:r w:rsidR="00852F35" w:rsidRPr="005C04C6">
        <w:rPr>
          <w:rFonts w:ascii="Palatino Linotype" w:hAnsi="Palatino Linotype"/>
          <w:sz w:val="24"/>
          <w:szCs w:val="24"/>
        </w:rPr>
        <w:t>o</w:t>
      </w:r>
      <w:r w:rsidRPr="005C04C6">
        <w:rPr>
          <w:rFonts w:ascii="Palatino Linotype" w:hAnsi="Palatino Linotype"/>
          <w:sz w:val="24"/>
          <w:szCs w:val="24"/>
        </w:rPr>
        <w:t xml:space="preserve"> previstos no artigo 169, § 1º, da CF/88, e </w:t>
      </w:r>
      <w:r w:rsidR="00852F35" w:rsidRPr="005C04C6">
        <w:rPr>
          <w:rFonts w:ascii="Palatino Linotype" w:hAnsi="Palatino Linotype"/>
          <w:sz w:val="24"/>
          <w:szCs w:val="24"/>
        </w:rPr>
        <w:t>n</w:t>
      </w:r>
      <w:r w:rsidRPr="005C04C6">
        <w:rPr>
          <w:rFonts w:ascii="Palatino Linotype" w:hAnsi="Palatino Linotype"/>
          <w:sz w:val="24"/>
          <w:szCs w:val="24"/>
        </w:rPr>
        <w:t>os artigos 15, 16, 17, 20 e 22 da Lei de Responsabilidade Fiscal (LC nº 101/2000).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Prevê o artigo 169, § 1º, da CF/88: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Art. 169. A despesa com pessoal ativo e inativo da União, dos Estados, do Distrito Federal e dos Municípios não poderá exceder os limites estabelec</w:t>
      </w:r>
      <w:r w:rsidRPr="005C04C6">
        <w:rPr>
          <w:rFonts w:ascii="Palatino Linotype" w:hAnsi="Palatino Linotype"/>
          <w:sz w:val="20"/>
          <w:szCs w:val="20"/>
        </w:rPr>
        <w:t>i</w:t>
      </w:r>
      <w:r w:rsidRPr="005C04C6">
        <w:rPr>
          <w:rFonts w:ascii="Palatino Linotype" w:hAnsi="Palatino Linotype"/>
          <w:sz w:val="20"/>
          <w:szCs w:val="20"/>
        </w:rPr>
        <w:t>dos em lei complementar.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 xml:space="preserve">§ 1º A concessão de qualquer vantagem ou aumento de remuneração, </w:t>
      </w:r>
      <w:r w:rsidRPr="005C04C6">
        <w:rPr>
          <w:rFonts w:ascii="Palatino Linotype" w:hAnsi="Palatino Linotype"/>
          <w:b/>
          <w:sz w:val="20"/>
          <w:szCs w:val="20"/>
          <w:u w:val="single"/>
        </w:rPr>
        <w:t>a cr</w:t>
      </w:r>
      <w:r w:rsidRPr="005C04C6">
        <w:rPr>
          <w:rFonts w:ascii="Palatino Linotype" w:hAnsi="Palatino Linotype"/>
          <w:b/>
          <w:sz w:val="20"/>
          <w:szCs w:val="20"/>
          <w:u w:val="single"/>
        </w:rPr>
        <w:t>i</w:t>
      </w:r>
      <w:r w:rsidRPr="005C04C6">
        <w:rPr>
          <w:rFonts w:ascii="Palatino Linotype" w:hAnsi="Palatino Linotype"/>
          <w:b/>
          <w:sz w:val="20"/>
          <w:szCs w:val="20"/>
          <w:u w:val="single"/>
        </w:rPr>
        <w:t>ação de cargos</w:t>
      </w:r>
      <w:r w:rsidRPr="005C04C6">
        <w:rPr>
          <w:rFonts w:ascii="Palatino Linotype" w:hAnsi="Palatino Linotype"/>
          <w:b/>
          <w:sz w:val="20"/>
          <w:szCs w:val="20"/>
        </w:rPr>
        <w:t>, empregos e funções ou alteração de estrutura de carreiras, bem como a admissão ou contratação de pessoal, a qualquer título, pelos órgãos e entidades da administração direta ou indireta, inclusive fund</w:t>
      </w:r>
      <w:r w:rsidRPr="005C04C6">
        <w:rPr>
          <w:rFonts w:ascii="Palatino Linotype" w:hAnsi="Palatino Linotype"/>
          <w:b/>
          <w:sz w:val="20"/>
          <w:szCs w:val="20"/>
        </w:rPr>
        <w:t>a</w:t>
      </w:r>
      <w:r w:rsidRPr="005C04C6">
        <w:rPr>
          <w:rFonts w:ascii="Palatino Linotype" w:hAnsi="Palatino Linotype"/>
          <w:b/>
          <w:sz w:val="20"/>
          <w:szCs w:val="20"/>
        </w:rPr>
        <w:t>ções instituídas e mantidas pelo poder público, só poderão ser feitas: (R</w:t>
      </w:r>
      <w:r w:rsidRPr="005C04C6">
        <w:rPr>
          <w:rFonts w:ascii="Palatino Linotype" w:hAnsi="Palatino Linotype"/>
          <w:b/>
          <w:sz w:val="20"/>
          <w:szCs w:val="20"/>
        </w:rPr>
        <w:t>e</w:t>
      </w:r>
      <w:r w:rsidRPr="005C04C6">
        <w:rPr>
          <w:rFonts w:ascii="Palatino Linotype" w:hAnsi="Palatino Linotype"/>
          <w:b/>
          <w:sz w:val="20"/>
          <w:szCs w:val="20"/>
        </w:rPr>
        <w:t>numerado do parágrafo único, pela Emenda Constitucional nº 19, de 1998)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 xml:space="preserve">I – se houver </w:t>
      </w:r>
      <w:r w:rsidRPr="005C04C6">
        <w:rPr>
          <w:rFonts w:ascii="Palatino Linotype" w:hAnsi="Palatino Linotype"/>
          <w:b/>
          <w:sz w:val="20"/>
          <w:szCs w:val="20"/>
        </w:rPr>
        <w:t>prévia dotação orçamentária</w:t>
      </w:r>
      <w:r w:rsidRPr="005C04C6">
        <w:rPr>
          <w:rFonts w:ascii="Palatino Linotype" w:hAnsi="Palatino Linotype"/>
          <w:sz w:val="20"/>
          <w:szCs w:val="20"/>
        </w:rPr>
        <w:t xml:space="preserve"> suficiente para atender às proj</w:t>
      </w:r>
      <w:r w:rsidRPr="005C04C6">
        <w:rPr>
          <w:rFonts w:ascii="Palatino Linotype" w:hAnsi="Palatino Linotype"/>
          <w:sz w:val="20"/>
          <w:szCs w:val="20"/>
        </w:rPr>
        <w:t>e</w:t>
      </w:r>
      <w:r w:rsidRPr="005C04C6">
        <w:rPr>
          <w:rFonts w:ascii="Palatino Linotype" w:hAnsi="Palatino Linotype"/>
          <w:sz w:val="20"/>
          <w:szCs w:val="20"/>
        </w:rPr>
        <w:t>ções de despesa de pessoal e aos acréscimos dela decorrentes; (Incluído pela Emenda Constitucional nº 19, de 1998)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 – se houver </w:t>
      </w:r>
      <w:r w:rsidRPr="005C04C6">
        <w:rPr>
          <w:rFonts w:ascii="Palatino Linotype" w:hAnsi="Palatino Linotype"/>
          <w:b/>
          <w:sz w:val="20"/>
          <w:szCs w:val="20"/>
        </w:rPr>
        <w:t>autorização específica na lei de diretrizes orçamentárias</w:t>
      </w:r>
      <w:r w:rsidRPr="005C04C6">
        <w:rPr>
          <w:rFonts w:ascii="Palatino Linotype" w:hAnsi="Palatino Linotype"/>
          <w:sz w:val="20"/>
          <w:szCs w:val="20"/>
        </w:rPr>
        <w:t>, re</w:t>
      </w:r>
      <w:r w:rsidRPr="005C04C6">
        <w:rPr>
          <w:rFonts w:ascii="Palatino Linotype" w:hAnsi="Palatino Linotype"/>
          <w:sz w:val="20"/>
          <w:szCs w:val="20"/>
        </w:rPr>
        <w:t>s</w:t>
      </w:r>
      <w:r w:rsidRPr="005C04C6">
        <w:rPr>
          <w:rFonts w:ascii="Palatino Linotype" w:hAnsi="Palatino Linotype"/>
          <w:sz w:val="20"/>
          <w:szCs w:val="20"/>
        </w:rPr>
        <w:t>salvadas as empresas públicas e as sociedades de economia mista. (Incluído pela Emenda Constitucional nº 19, de 1998)</w:t>
      </w:r>
    </w:p>
    <w:p w:rsidR="007A2BD8" w:rsidRPr="005C04C6" w:rsidRDefault="007A2BD8" w:rsidP="007A2BD8">
      <w:pPr>
        <w:spacing w:after="0" w:line="360" w:lineRule="auto"/>
        <w:ind w:left="3538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Na Lei de Responsabilidade Fiscal, preceituam os artigos 15 e 16, inc. I e II: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Art. 15. Serão consideradas não autorizadas, irregulares e lesivas ao patr</w:t>
      </w:r>
      <w:r w:rsidRPr="005C04C6">
        <w:rPr>
          <w:rFonts w:ascii="Palatino Linotype" w:hAnsi="Palatino Linotype"/>
          <w:sz w:val="20"/>
          <w:szCs w:val="20"/>
        </w:rPr>
        <w:t>i</w:t>
      </w:r>
      <w:r w:rsidRPr="005C04C6">
        <w:rPr>
          <w:rFonts w:ascii="Palatino Linotype" w:hAnsi="Palatino Linotype"/>
          <w:sz w:val="20"/>
          <w:szCs w:val="20"/>
        </w:rPr>
        <w:t xml:space="preserve">mônio público a geração de despesa ou assunção de obrigação que não </w:t>
      </w:r>
      <w:r w:rsidRPr="005C04C6">
        <w:rPr>
          <w:rFonts w:ascii="Palatino Linotype" w:hAnsi="Palatino Linotype"/>
          <w:sz w:val="20"/>
          <w:szCs w:val="20"/>
        </w:rPr>
        <w:t>a</w:t>
      </w:r>
      <w:r w:rsidRPr="005C04C6">
        <w:rPr>
          <w:rFonts w:ascii="Palatino Linotype" w:hAnsi="Palatino Linotype"/>
          <w:sz w:val="20"/>
          <w:szCs w:val="20"/>
        </w:rPr>
        <w:t>tendam o disposto nos arts. 16 e 17.</w:t>
      </w:r>
    </w:p>
    <w:p w:rsidR="00852F35" w:rsidRPr="005C04C6" w:rsidRDefault="00852F35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 xml:space="preserve">Art. 16. </w:t>
      </w:r>
      <w:r w:rsidRPr="005C04C6">
        <w:rPr>
          <w:rFonts w:ascii="Palatino Linotype" w:hAnsi="Palatino Linotype"/>
          <w:b/>
          <w:sz w:val="20"/>
          <w:szCs w:val="20"/>
        </w:rPr>
        <w:t>A criação, expansão ou aperfeiçoamento de ação governamental que acarrete aumento da despesa será acompanhado de: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I – estimativa do impacto orçamentário-financeiro no exercício em que d</w:t>
      </w:r>
      <w:r w:rsidRPr="005C04C6">
        <w:rPr>
          <w:rFonts w:ascii="Palatino Linotype" w:hAnsi="Palatino Linotype"/>
          <w:b/>
          <w:sz w:val="20"/>
          <w:szCs w:val="20"/>
        </w:rPr>
        <w:t>e</w:t>
      </w:r>
      <w:r w:rsidRPr="005C04C6">
        <w:rPr>
          <w:rFonts w:ascii="Palatino Linotype" w:hAnsi="Palatino Linotype"/>
          <w:b/>
          <w:sz w:val="20"/>
          <w:szCs w:val="20"/>
        </w:rPr>
        <w:t>va entrar em vigor e nos dois subseqüentes;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II – declaração do ordenador da despesa de que o aumento tem adequação orçamentária e financeira com a lei orçamentária anual e compatibilidade com o plano plurianual e com a lei de diretrizes orçamentárias.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    </w:t>
      </w:r>
    </w:p>
    <w:p w:rsidR="00852F35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Tais regras estão atendidas, visto que, além da previsão autorizativa </w:t>
      </w:r>
      <w:r w:rsidR="00852F35" w:rsidRPr="005C04C6">
        <w:rPr>
          <w:rFonts w:ascii="Palatino Linotype" w:hAnsi="Palatino Linotype"/>
          <w:sz w:val="24"/>
          <w:szCs w:val="24"/>
        </w:rPr>
        <w:t>do arts. 5</w:t>
      </w:r>
      <w:r w:rsidR="00645AEA">
        <w:rPr>
          <w:rFonts w:ascii="Palatino Linotype" w:hAnsi="Palatino Linotype"/>
          <w:sz w:val="24"/>
          <w:szCs w:val="24"/>
        </w:rPr>
        <w:t>6</w:t>
      </w:r>
      <w:r w:rsidR="00852F35" w:rsidRPr="005C04C6">
        <w:rPr>
          <w:rFonts w:ascii="Palatino Linotype" w:hAnsi="Palatino Linotype"/>
          <w:sz w:val="24"/>
          <w:szCs w:val="24"/>
        </w:rPr>
        <w:t xml:space="preserve"> </w:t>
      </w:r>
      <w:r w:rsidRPr="005C04C6">
        <w:rPr>
          <w:rFonts w:ascii="Palatino Linotype" w:hAnsi="Palatino Linotype"/>
          <w:sz w:val="24"/>
          <w:szCs w:val="24"/>
        </w:rPr>
        <w:t>da Lei de Diretrizes Orçamentárias</w:t>
      </w:r>
      <w:r w:rsidR="00645AEA">
        <w:rPr>
          <w:rFonts w:ascii="Palatino Linotype" w:hAnsi="Palatino Linotype"/>
          <w:sz w:val="24"/>
          <w:szCs w:val="24"/>
        </w:rPr>
        <w:t xml:space="preserve"> 2024</w:t>
      </w:r>
      <w:r w:rsidRPr="005C04C6">
        <w:rPr>
          <w:rFonts w:ascii="Palatino Linotype" w:hAnsi="Palatino Linotype"/>
          <w:sz w:val="24"/>
          <w:szCs w:val="24"/>
        </w:rPr>
        <w:t xml:space="preserve"> (Lei Municipal nº 4.</w:t>
      </w:r>
      <w:r w:rsidR="00645AEA">
        <w:rPr>
          <w:rFonts w:ascii="Palatino Linotype" w:hAnsi="Palatino Linotype"/>
          <w:sz w:val="24"/>
          <w:szCs w:val="24"/>
        </w:rPr>
        <w:t>457</w:t>
      </w:r>
      <w:r w:rsidR="00852F35" w:rsidRPr="005C04C6">
        <w:rPr>
          <w:rFonts w:ascii="Palatino Linotype" w:hAnsi="Palatino Linotype"/>
          <w:sz w:val="24"/>
          <w:szCs w:val="24"/>
        </w:rPr>
        <w:t>/202</w:t>
      </w:r>
      <w:r w:rsidR="00C30CFC">
        <w:rPr>
          <w:rFonts w:ascii="Palatino Linotype" w:hAnsi="Palatino Linotype"/>
          <w:sz w:val="24"/>
          <w:szCs w:val="24"/>
        </w:rPr>
        <w:t>3</w:t>
      </w:r>
      <w:r w:rsidRPr="005C04C6">
        <w:rPr>
          <w:rFonts w:ascii="Palatino Linotype" w:hAnsi="Palatino Linotype"/>
          <w:sz w:val="24"/>
          <w:szCs w:val="24"/>
        </w:rPr>
        <w:t>),</w:t>
      </w:r>
      <w:r w:rsidR="00852F35" w:rsidRPr="005C04C6">
        <w:rPr>
          <w:rFonts w:ascii="Palatino Linotype" w:hAnsi="Palatino Linotype"/>
          <w:sz w:val="24"/>
          <w:szCs w:val="24"/>
        </w:rPr>
        <w:t xml:space="preserve"> houve a apresentação de estimativa de impacto orçamentário-financeiro</w:t>
      </w:r>
      <w:r w:rsidRPr="005C04C6">
        <w:rPr>
          <w:rFonts w:ascii="Palatino Linotype" w:hAnsi="Palatino Linotype"/>
          <w:sz w:val="24"/>
          <w:szCs w:val="24"/>
        </w:rPr>
        <w:t xml:space="preserve"> </w:t>
      </w:r>
      <w:r w:rsidR="00852F35" w:rsidRPr="005C04C6">
        <w:rPr>
          <w:rFonts w:ascii="Palatino Linotype" w:hAnsi="Palatino Linotype"/>
          <w:sz w:val="24"/>
          <w:szCs w:val="24"/>
        </w:rPr>
        <w:t xml:space="preserve">contendo as </w:t>
      </w:r>
      <w:r w:rsidRPr="005C04C6">
        <w:rPr>
          <w:rFonts w:ascii="Palatino Linotype" w:hAnsi="Palatino Linotype"/>
          <w:sz w:val="24"/>
          <w:szCs w:val="24"/>
        </w:rPr>
        <w:t>info</w:t>
      </w:r>
      <w:r w:rsidRPr="005C04C6">
        <w:rPr>
          <w:rFonts w:ascii="Palatino Linotype" w:hAnsi="Palatino Linotype"/>
          <w:sz w:val="24"/>
          <w:szCs w:val="24"/>
        </w:rPr>
        <w:t>r</w:t>
      </w:r>
      <w:r w:rsidRPr="005C04C6">
        <w:rPr>
          <w:rFonts w:ascii="Palatino Linotype" w:hAnsi="Palatino Linotype"/>
          <w:sz w:val="24"/>
          <w:szCs w:val="24"/>
        </w:rPr>
        <w:t>mações necessárias.</w:t>
      </w:r>
    </w:p>
    <w:p w:rsidR="00852F35" w:rsidRPr="005C04C6" w:rsidRDefault="00852F35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 Ainda, dispõe o art. 17 da Lei de Responsabilidade Fiscal: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Art. 17. Considera-se obrigatória de caráter continuado a despesa corrente derivada de lei, medida provisória ou ato administrativo normativo que fixem para o ente a obrigação legal de sua execução por um período sup</w:t>
      </w:r>
      <w:r w:rsidRPr="005C04C6">
        <w:rPr>
          <w:rFonts w:ascii="Palatino Linotype" w:hAnsi="Palatino Linotype"/>
          <w:b/>
          <w:sz w:val="20"/>
          <w:szCs w:val="20"/>
        </w:rPr>
        <w:t>e</w:t>
      </w:r>
      <w:r w:rsidRPr="005C04C6">
        <w:rPr>
          <w:rFonts w:ascii="Palatino Linotype" w:hAnsi="Palatino Linotype"/>
          <w:b/>
          <w:sz w:val="20"/>
          <w:szCs w:val="20"/>
        </w:rPr>
        <w:t>rior a dois exercícios.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§ 1º Os atos que criarem ou aumentarem despesa de que trata o caput d</w:t>
      </w:r>
      <w:r w:rsidRPr="005C04C6">
        <w:rPr>
          <w:rFonts w:ascii="Palatino Linotype" w:hAnsi="Palatino Linotype"/>
          <w:b/>
          <w:sz w:val="20"/>
          <w:szCs w:val="20"/>
        </w:rPr>
        <w:t>e</w:t>
      </w:r>
      <w:r w:rsidRPr="005C04C6">
        <w:rPr>
          <w:rFonts w:ascii="Palatino Linotype" w:hAnsi="Palatino Linotype"/>
          <w:b/>
          <w:sz w:val="20"/>
          <w:szCs w:val="20"/>
        </w:rPr>
        <w:t>verão ser instruídos com a estimativa prevista no inciso I do art. 16 e d</w:t>
      </w:r>
      <w:r w:rsidRPr="005C04C6">
        <w:rPr>
          <w:rFonts w:ascii="Palatino Linotype" w:hAnsi="Palatino Linotype"/>
          <w:b/>
          <w:sz w:val="20"/>
          <w:szCs w:val="20"/>
        </w:rPr>
        <w:t>e</w:t>
      </w:r>
      <w:r w:rsidRPr="005C04C6">
        <w:rPr>
          <w:rFonts w:ascii="Palatino Linotype" w:hAnsi="Palatino Linotype"/>
          <w:b/>
          <w:sz w:val="20"/>
          <w:szCs w:val="20"/>
        </w:rPr>
        <w:t>monstrar a origem dos recursos para seu custeio.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§ 2º Para efeito do atendimento do § 1º, o ato será acompanhado de co</w:t>
      </w:r>
      <w:r w:rsidRPr="005C04C6">
        <w:rPr>
          <w:rFonts w:ascii="Palatino Linotype" w:hAnsi="Palatino Linotype"/>
          <w:b/>
          <w:sz w:val="20"/>
          <w:szCs w:val="20"/>
        </w:rPr>
        <w:t>m</w:t>
      </w:r>
      <w:r w:rsidRPr="005C04C6">
        <w:rPr>
          <w:rFonts w:ascii="Palatino Linotype" w:hAnsi="Palatino Linotype"/>
          <w:b/>
          <w:sz w:val="20"/>
          <w:szCs w:val="20"/>
        </w:rPr>
        <w:t>provação de que a despesa criada ou aumentada não afetará as metas de resultados fiscais previstas no anexo referido no § 1º do art. 4º, devendo seus efeitos financeiros, nos períodos seguintes, ser compensados pelo aumento permanente de receita ou pela redução permanente de despesa.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§ 3º Para efeito do § 2º, considera-se aumento permanente de receita o pr</w:t>
      </w:r>
      <w:r w:rsidRPr="005C04C6">
        <w:rPr>
          <w:rFonts w:ascii="Palatino Linotype" w:hAnsi="Palatino Linotype"/>
          <w:sz w:val="20"/>
          <w:szCs w:val="20"/>
        </w:rPr>
        <w:t>o</w:t>
      </w:r>
      <w:r w:rsidRPr="005C04C6">
        <w:rPr>
          <w:rFonts w:ascii="Palatino Linotype" w:hAnsi="Palatino Linotype"/>
          <w:sz w:val="20"/>
          <w:szCs w:val="20"/>
        </w:rPr>
        <w:t>veniente da elevação de alíquotas, ampliação da base de cálculo, majoração ou criação de tributo ou contribuição.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§ 4º A comprovação referida no § 2º, apresentada pelo proponente, conterá as premissas e metodologia de cálculo utilizadas, sem prejuízo do exame de compatibilidade da despesa com as demais normas do plano plurianual e da lei de diretrizes orçamentárias.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lastRenderedPageBreak/>
        <w:t>§ 5º A despesa de que trata este artigo não será executada antes da impl</w:t>
      </w:r>
      <w:r w:rsidRPr="005C04C6">
        <w:rPr>
          <w:rFonts w:ascii="Palatino Linotype" w:hAnsi="Palatino Linotype"/>
          <w:sz w:val="20"/>
          <w:szCs w:val="20"/>
        </w:rPr>
        <w:t>e</w:t>
      </w:r>
      <w:r w:rsidRPr="005C04C6">
        <w:rPr>
          <w:rFonts w:ascii="Palatino Linotype" w:hAnsi="Palatino Linotype"/>
          <w:sz w:val="20"/>
          <w:szCs w:val="20"/>
        </w:rPr>
        <w:t>mentação das medidas referidas no § 2º, as quais integrarão o instrumento que a criar ou aumentar.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§ 6º O disposto no § 1º não se aplica às despesas destinadas ao serviço da d</w:t>
      </w:r>
      <w:r w:rsidRPr="005C04C6">
        <w:rPr>
          <w:rFonts w:ascii="Palatino Linotype" w:hAnsi="Palatino Linotype"/>
          <w:sz w:val="20"/>
          <w:szCs w:val="20"/>
        </w:rPr>
        <w:t>í</w:t>
      </w:r>
      <w:r w:rsidRPr="005C04C6">
        <w:rPr>
          <w:rFonts w:ascii="Palatino Linotype" w:hAnsi="Palatino Linotype"/>
          <w:sz w:val="20"/>
          <w:szCs w:val="20"/>
        </w:rPr>
        <w:t>vida nem ao reajustamento de remuneração de pessoal de que trata o inciso X do art. 37 da Constituição.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§ 7º Considera-se aumento de despesa a prorrogação daquela criada por prazo determinado.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Quanto ao disposto no art. 17 da LRF, cabe reiterar que a estimativa de impacto orçamentário-financeiro apresenta a origem dos recursos para o custeio da despesa e contém as premissas básicas, comprovando-se, ainda, que a despesa criada não afetará as metas de resultados fiscais.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28506C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Além disso, e</w:t>
      </w:r>
      <w:r w:rsidR="007A2BD8" w:rsidRPr="005C04C6">
        <w:rPr>
          <w:rFonts w:ascii="Palatino Linotype" w:hAnsi="Palatino Linotype"/>
          <w:sz w:val="24"/>
          <w:szCs w:val="24"/>
        </w:rPr>
        <w:t>stabelecem os artigos 19 e 20 da LC nº 101/00:</w:t>
      </w:r>
    </w:p>
    <w:p w:rsidR="007A2BD8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Art. 19. Para os fins do disposto no caput do art. 169 da Constituição, a de</w:t>
      </w:r>
      <w:r w:rsidRPr="005C04C6">
        <w:rPr>
          <w:rFonts w:ascii="Palatino Linotype" w:hAnsi="Palatino Linotype"/>
          <w:sz w:val="20"/>
          <w:szCs w:val="20"/>
        </w:rPr>
        <w:t>s</w:t>
      </w:r>
      <w:r w:rsidRPr="005C04C6">
        <w:rPr>
          <w:rFonts w:ascii="Palatino Linotype" w:hAnsi="Palatino Linotype"/>
          <w:sz w:val="20"/>
          <w:szCs w:val="20"/>
        </w:rPr>
        <w:t>pesa total com pessoal, em cada período de apuração e em cada ente da F</w:t>
      </w:r>
      <w:r w:rsidRPr="005C04C6">
        <w:rPr>
          <w:rFonts w:ascii="Palatino Linotype" w:hAnsi="Palatino Linotype"/>
          <w:sz w:val="20"/>
          <w:szCs w:val="20"/>
        </w:rPr>
        <w:t>e</w:t>
      </w:r>
      <w:r w:rsidRPr="005C04C6">
        <w:rPr>
          <w:rFonts w:ascii="Palatino Linotype" w:hAnsi="Palatino Linotype"/>
          <w:sz w:val="20"/>
          <w:szCs w:val="20"/>
        </w:rPr>
        <w:t xml:space="preserve">deração, </w:t>
      </w:r>
      <w:r w:rsidRPr="005C04C6">
        <w:rPr>
          <w:rFonts w:ascii="Palatino Linotype" w:hAnsi="Palatino Linotype"/>
          <w:b/>
          <w:sz w:val="20"/>
          <w:szCs w:val="20"/>
        </w:rPr>
        <w:t>não poderá exceder os percentuais da receita corrente líquida</w:t>
      </w:r>
      <w:r w:rsidRPr="005C04C6">
        <w:rPr>
          <w:rFonts w:ascii="Palatino Linotype" w:hAnsi="Palatino Linotype"/>
          <w:sz w:val="20"/>
          <w:szCs w:val="20"/>
        </w:rPr>
        <w:t>, a seguir discriminados: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 - União: 50% (cinqüenta por cento);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 - Estados: 60% (sessenta por cento);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III - Municípios: 60% (sessenta por cento).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Art. 20. A repartição dos limites globais do art. 19 não poderá exceder os s</w:t>
      </w:r>
      <w:r w:rsidRPr="005C04C6">
        <w:rPr>
          <w:rFonts w:ascii="Palatino Linotype" w:hAnsi="Palatino Linotype"/>
          <w:sz w:val="20"/>
          <w:szCs w:val="20"/>
        </w:rPr>
        <w:t>e</w:t>
      </w:r>
      <w:r w:rsidRPr="005C04C6">
        <w:rPr>
          <w:rFonts w:ascii="Palatino Linotype" w:hAnsi="Palatino Linotype"/>
          <w:sz w:val="20"/>
          <w:szCs w:val="20"/>
        </w:rPr>
        <w:t>guintes percentuais: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[...]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III - na esfera municipal:</w:t>
      </w:r>
    </w:p>
    <w:p w:rsidR="007A2BD8" w:rsidRPr="005C04C6" w:rsidRDefault="007A2BD8" w:rsidP="007A2BD8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 xml:space="preserve">b) </w:t>
      </w:r>
      <w:r w:rsidRPr="005C04C6">
        <w:rPr>
          <w:rFonts w:ascii="Palatino Linotype" w:hAnsi="Palatino Linotype"/>
          <w:b/>
          <w:sz w:val="20"/>
          <w:szCs w:val="20"/>
        </w:rPr>
        <w:t>54% (cinquenta e quatro) para o Executivo.</w:t>
      </w:r>
    </w:p>
    <w:p w:rsidR="00852F35" w:rsidRPr="005C04C6" w:rsidRDefault="00852F35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52F35" w:rsidRPr="005C04C6" w:rsidRDefault="007A2BD8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De acordo com a estimativa de impacto orçamentário-financeiro, a receita corrente líquida para o exercício de 202</w:t>
      </w:r>
      <w:r w:rsidR="00645AEA">
        <w:rPr>
          <w:rFonts w:ascii="Palatino Linotype" w:hAnsi="Palatino Linotype"/>
          <w:sz w:val="24"/>
          <w:szCs w:val="24"/>
        </w:rPr>
        <w:t>4</w:t>
      </w:r>
      <w:r w:rsidRPr="005C04C6">
        <w:rPr>
          <w:rFonts w:ascii="Palatino Linotype" w:hAnsi="Palatino Linotype"/>
          <w:sz w:val="24"/>
          <w:szCs w:val="24"/>
        </w:rPr>
        <w:t xml:space="preserve"> é de R$ </w:t>
      </w:r>
      <w:r w:rsidR="00B83A81">
        <w:rPr>
          <w:rFonts w:ascii="Palatino Linotype" w:hAnsi="Palatino Linotype"/>
          <w:sz w:val="24"/>
          <w:szCs w:val="24"/>
        </w:rPr>
        <w:t>4</w:t>
      </w:r>
      <w:r w:rsidR="00645AEA">
        <w:rPr>
          <w:rFonts w:ascii="Palatino Linotype" w:hAnsi="Palatino Linotype"/>
          <w:sz w:val="24"/>
          <w:szCs w:val="24"/>
        </w:rPr>
        <w:t>7</w:t>
      </w:r>
      <w:r w:rsidR="00B83A81">
        <w:rPr>
          <w:rFonts w:ascii="Palatino Linotype" w:hAnsi="Palatino Linotype"/>
          <w:sz w:val="24"/>
          <w:szCs w:val="24"/>
        </w:rPr>
        <w:t>3</w:t>
      </w:r>
      <w:r w:rsidRPr="005C04C6">
        <w:rPr>
          <w:rFonts w:ascii="Palatino Linotype" w:hAnsi="Palatino Linotype"/>
          <w:sz w:val="24"/>
          <w:szCs w:val="24"/>
        </w:rPr>
        <w:t>.</w:t>
      </w:r>
      <w:r w:rsidR="00645AEA">
        <w:rPr>
          <w:rFonts w:ascii="Palatino Linotype" w:hAnsi="Palatino Linotype"/>
          <w:sz w:val="24"/>
          <w:szCs w:val="24"/>
        </w:rPr>
        <w:t>482</w:t>
      </w:r>
      <w:r w:rsidRPr="005C04C6">
        <w:rPr>
          <w:rFonts w:ascii="Palatino Linotype" w:hAnsi="Palatino Linotype"/>
          <w:sz w:val="24"/>
          <w:szCs w:val="24"/>
        </w:rPr>
        <w:t>.</w:t>
      </w:r>
      <w:r w:rsidR="00645AEA">
        <w:rPr>
          <w:rFonts w:ascii="Palatino Linotype" w:hAnsi="Palatino Linotype"/>
          <w:sz w:val="24"/>
          <w:szCs w:val="24"/>
        </w:rPr>
        <w:t>722</w:t>
      </w:r>
      <w:r w:rsidRPr="005C04C6">
        <w:rPr>
          <w:rFonts w:ascii="Palatino Linotype" w:hAnsi="Palatino Linotype"/>
          <w:sz w:val="24"/>
          <w:szCs w:val="24"/>
        </w:rPr>
        <w:t>,</w:t>
      </w:r>
      <w:r w:rsidR="00645AEA">
        <w:rPr>
          <w:rFonts w:ascii="Palatino Linotype" w:hAnsi="Palatino Linotype"/>
          <w:sz w:val="24"/>
          <w:szCs w:val="24"/>
        </w:rPr>
        <w:t>00</w:t>
      </w:r>
      <w:r w:rsidRPr="005C04C6">
        <w:rPr>
          <w:rFonts w:ascii="Palatino Linotype" w:hAnsi="Palatino Linotype"/>
          <w:sz w:val="24"/>
          <w:szCs w:val="24"/>
        </w:rPr>
        <w:t xml:space="preserve">. A despesa total com pessoal projetada para o final do exercício, com o impacto, é de R$ </w:t>
      </w:r>
      <w:r w:rsidR="00645AEA">
        <w:rPr>
          <w:rFonts w:ascii="Palatino Linotype" w:hAnsi="Palatino Linotype"/>
          <w:sz w:val="24"/>
          <w:szCs w:val="24"/>
        </w:rPr>
        <w:t>235</w:t>
      </w:r>
      <w:r w:rsidRPr="005C04C6">
        <w:rPr>
          <w:rFonts w:ascii="Palatino Linotype" w:hAnsi="Palatino Linotype"/>
          <w:sz w:val="24"/>
          <w:szCs w:val="24"/>
        </w:rPr>
        <w:t>.</w:t>
      </w:r>
      <w:r w:rsidR="00645AEA">
        <w:rPr>
          <w:rFonts w:ascii="Palatino Linotype" w:hAnsi="Palatino Linotype"/>
          <w:sz w:val="24"/>
          <w:szCs w:val="24"/>
        </w:rPr>
        <w:t>354</w:t>
      </w:r>
      <w:r w:rsidR="00852F35" w:rsidRPr="005C04C6">
        <w:rPr>
          <w:rFonts w:ascii="Palatino Linotype" w:hAnsi="Palatino Linotype"/>
          <w:sz w:val="24"/>
          <w:szCs w:val="24"/>
        </w:rPr>
        <w:t>.</w:t>
      </w:r>
      <w:r w:rsidR="00645AEA">
        <w:rPr>
          <w:rFonts w:ascii="Palatino Linotype" w:hAnsi="Palatino Linotype"/>
          <w:sz w:val="24"/>
          <w:szCs w:val="24"/>
        </w:rPr>
        <w:t>514</w:t>
      </w:r>
      <w:r w:rsidR="00852F35" w:rsidRPr="005C04C6">
        <w:rPr>
          <w:rFonts w:ascii="Palatino Linotype" w:hAnsi="Palatino Linotype"/>
          <w:sz w:val="24"/>
          <w:szCs w:val="24"/>
        </w:rPr>
        <w:t>,</w:t>
      </w:r>
      <w:r w:rsidR="00645AEA">
        <w:rPr>
          <w:rFonts w:ascii="Palatino Linotype" w:hAnsi="Palatino Linotype"/>
          <w:sz w:val="24"/>
          <w:szCs w:val="24"/>
        </w:rPr>
        <w:t>13</w:t>
      </w:r>
      <w:r w:rsidRPr="005C04C6">
        <w:rPr>
          <w:rFonts w:ascii="Palatino Linotype" w:hAnsi="Palatino Linotype"/>
          <w:sz w:val="24"/>
          <w:szCs w:val="24"/>
        </w:rPr>
        <w:t xml:space="preserve">, </w:t>
      </w:r>
      <w:r w:rsidRPr="005C04C6">
        <w:rPr>
          <w:rFonts w:ascii="Palatino Linotype" w:hAnsi="Palatino Linotype"/>
          <w:sz w:val="24"/>
          <w:szCs w:val="24"/>
          <w:u w:val="single"/>
        </w:rPr>
        <w:t xml:space="preserve">representando </w:t>
      </w:r>
      <w:r w:rsidR="00645AEA" w:rsidRPr="00645AEA">
        <w:rPr>
          <w:rFonts w:ascii="Palatino Linotype" w:hAnsi="Palatino Linotype"/>
          <w:b/>
          <w:sz w:val="24"/>
          <w:szCs w:val="24"/>
          <w:u w:val="single"/>
        </w:rPr>
        <w:t>49</w:t>
      </w:r>
      <w:r w:rsidRPr="00645AEA">
        <w:rPr>
          <w:rFonts w:ascii="Palatino Linotype" w:hAnsi="Palatino Linotype"/>
          <w:b/>
          <w:sz w:val="24"/>
          <w:szCs w:val="24"/>
          <w:u w:val="single"/>
        </w:rPr>
        <w:t>,</w:t>
      </w:r>
      <w:r w:rsidR="00645AEA">
        <w:rPr>
          <w:rFonts w:ascii="Palatino Linotype" w:hAnsi="Palatino Linotype"/>
          <w:b/>
          <w:sz w:val="24"/>
          <w:szCs w:val="24"/>
          <w:u w:val="single"/>
        </w:rPr>
        <w:t>71</w:t>
      </w:r>
      <w:r w:rsidRPr="005C04C6">
        <w:rPr>
          <w:rFonts w:ascii="Palatino Linotype" w:hAnsi="Palatino Linotype"/>
          <w:b/>
          <w:sz w:val="24"/>
          <w:szCs w:val="24"/>
          <w:u w:val="single"/>
        </w:rPr>
        <w:t>%</w:t>
      </w:r>
      <w:r w:rsidRPr="005C04C6">
        <w:rPr>
          <w:rFonts w:ascii="Palatino Linotype" w:hAnsi="Palatino Linotype"/>
          <w:sz w:val="24"/>
          <w:szCs w:val="24"/>
          <w:u w:val="single"/>
        </w:rPr>
        <w:t xml:space="preserve"> da receita corrente líquida, percentual </w:t>
      </w:r>
      <w:r w:rsidR="008A2E15" w:rsidRPr="005C04C6">
        <w:rPr>
          <w:rFonts w:ascii="Palatino Linotype" w:hAnsi="Palatino Linotype"/>
          <w:sz w:val="24"/>
          <w:szCs w:val="24"/>
          <w:u w:val="single"/>
        </w:rPr>
        <w:t>a</w:t>
      </w:r>
      <w:r w:rsidR="00E549D5" w:rsidRPr="005C04C6">
        <w:rPr>
          <w:rFonts w:ascii="Palatino Linotype" w:hAnsi="Palatino Linotype"/>
          <w:sz w:val="24"/>
          <w:szCs w:val="24"/>
          <w:u w:val="single"/>
        </w:rPr>
        <w:t>b</w:t>
      </w:r>
      <w:r w:rsidR="008A2E15" w:rsidRPr="005C04C6">
        <w:rPr>
          <w:rFonts w:ascii="Palatino Linotype" w:hAnsi="Palatino Linotype"/>
          <w:sz w:val="24"/>
          <w:szCs w:val="24"/>
          <w:u w:val="single"/>
        </w:rPr>
        <w:t>aixo</w:t>
      </w:r>
      <w:r w:rsidR="00852F35" w:rsidRPr="005C04C6">
        <w:rPr>
          <w:rFonts w:ascii="Palatino Linotype" w:hAnsi="Palatino Linotype"/>
          <w:sz w:val="24"/>
          <w:szCs w:val="24"/>
          <w:u w:val="single"/>
        </w:rPr>
        <w:t xml:space="preserve"> do limite pr</w:t>
      </w:r>
      <w:r w:rsidR="00852F35" w:rsidRPr="005C04C6">
        <w:rPr>
          <w:rFonts w:ascii="Palatino Linotype" w:hAnsi="Palatino Linotype"/>
          <w:sz w:val="24"/>
          <w:szCs w:val="24"/>
          <w:u w:val="single"/>
        </w:rPr>
        <w:t>u</w:t>
      </w:r>
      <w:r w:rsidR="00852F35" w:rsidRPr="005C04C6">
        <w:rPr>
          <w:rFonts w:ascii="Palatino Linotype" w:hAnsi="Palatino Linotype"/>
          <w:sz w:val="24"/>
          <w:szCs w:val="24"/>
          <w:u w:val="single"/>
        </w:rPr>
        <w:t xml:space="preserve">dencial </w:t>
      </w:r>
      <w:r w:rsidRPr="005C04C6">
        <w:rPr>
          <w:rFonts w:ascii="Palatino Linotype" w:hAnsi="Palatino Linotype"/>
          <w:sz w:val="24"/>
          <w:szCs w:val="24"/>
          <w:u w:val="single"/>
        </w:rPr>
        <w:t>estabelecido pelo art. 22, parágrafo único, da LRF</w:t>
      </w:r>
      <w:r w:rsidR="00852F35" w:rsidRPr="005C04C6">
        <w:rPr>
          <w:rFonts w:ascii="Palatino Linotype" w:hAnsi="Palatino Linotype"/>
          <w:sz w:val="24"/>
          <w:szCs w:val="24"/>
          <w:u w:val="single"/>
        </w:rPr>
        <w:t>:</w:t>
      </w:r>
    </w:p>
    <w:p w:rsidR="00852F35" w:rsidRPr="005C04C6" w:rsidRDefault="00852F35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A0E63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Art. 22. A verificação do cumprimento dos limites estabelecidos nos arts. 19 e 20 será realizada</w:t>
      </w:r>
      <w:r w:rsidR="005A0E63" w:rsidRPr="005C04C6">
        <w:rPr>
          <w:rFonts w:ascii="Palatino Linotype" w:hAnsi="Palatino Linotype"/>
          <w:b/>
          <w:sz w:val="20"/>
          <w:szCs w:val="20"/>
        </w:rPr>
        <w:t xml:space="preserve"> ao final de cada quadrimestre.</w:t>
      </w:r>
    </w:p>
    <w:p w:rsidR="005A0E63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lastRenderedPageBreak/>
        <w:t>Parágrafo único. Se a despesa total com pessoal exceder a 95% (noventa e cinco por cento) do limite, são vedados ao Poder ou órgão referido no art. 20 q</w:t>
      </w:r>
      <w:r w:rsidR="005A0E63" w:rsidRPr="005C04C6">
        <w:rPr>
          <w:rFonts w:ascii="Palatino Linotype" w:hAnsi="Palatino Linotype"/>
          <w:sz w:val="20"/>
          <w:szCs w:val="20"/>
        </w:rPr>
        <w:t>ue houver incorrido no excesso:</w:t>
      </w:r>
    </w:p>
    <w:p w:rsidR="005A0E63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 – concessão de vantagem, aumento, reajuste ou adequação de remuneração a qualquer título, salvo os derivados de sentença judicial ou de determin</w:t>
      </w:r>
      <w:r w:rsidRPr="005C04C6">
        <w:rPr>
          <w:rFonts w:ascii="Palatino Linotype" w:hAnsi="Palatino Linotype"/>
          <w:sz w:val="20"/>
          <w:szCs w:val="20"/>
        </w:rPr>
        <w:t>a</w:t>
      </w:r>
      <w:r w:rsidRPr="005C04C6">
        <w:rPr>
          <w:rFonts w:ascii="Palatino Linotype" w:hAnsi="Palatino Linotype"/>
          <w:sz w:val="20"/>
          <w:szCs w:val="20"/>
        </w:rPr>
        <w:t>ção legal ou contratual, ressalvada a revisão prevista no incis</w:t>
      </w:r>
      <w:r w:rsidR="005A0E63" w:rsidRPr="005C04C6">
        <w:rPr>
          <w:rFonts w:ascii="Palatino Linotype" w:hAnsi="Palatino Linotype"/>
          <w:sz w:val="20"/>
          <w:szCs w:val="20"/>
        </w:rPr>
        <w:t>o X do art. 37 da Constituição;</w:t>
      </w:r>
    </w:p>
    <w:p w:rsidR="005A0E63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5C04C6">
        <w:rPr>
          <w:rFonts w:ascii="Palatino Linotype" w:hAnsi="Palatino Linotype"/>
          <w:b/>
          <w:sz w:val="20"/>
          <w:szCs w:val="20"/>
        </w:rPr>
        <w:t>II – criaç</w:t>
      </w:r>
      <w:r w:rsidR="005A0E63" w:rsidRPr="005C04C6">
        <w:rPr>
          <w:rFonts w:ascii="Palatino Linotype" w:hAnsi="Palatino Linotype"/>
          <w:b/>
          <w:sz w:val="20"/>
          <w:szCs w:val="20"/>
        </w:rPr>
        <w:t>ão de cargo, emprego ou função;</w:t>
      </w:r>
    </w:p>
    <w:p w:rsidR="005A0E63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III – alteração de estrutura de carreira que implique aumento de despe</w:t>
      </w:r>
      <w:r w:rsidR="005A0E63" w:rsidRPr="005C04C6">
        <w:rPr>
          <w:rFonts w:ascii="Palatino Linotype" w:hAnsi="Palatino Linotype"/>
          <w:sz w:val="20"/>
          <w:szCs w:val="20"/>
        </w:rPr>
        <w:t>sa;</w:t>
      </w:r>
    </w:p>
    <w:p w:rsidR="005A0E63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IV – provimento de cargo público, admissão ou contratação de pessoal a qualquer título, ressalvada a reposição decorrente de aposentadoria ou fal</w:t>
      </w:r>
      <w:r w:rsidRPr="005C04C6">
        <w:rPr>
          <w:rFonts w:ascii="Palatino Linotype" w:hAnsi="Palatino Linotype"/>
          <w:sz w:val="20"/>
          <w:szCs w:val="20"/>
        </w:rPr>
        <w:t>e</w:t>
      </w:r>
      <w:r w:rsidRPr="005C04C6">
        <w:rPr>
          <w:rFonts w:ascii="Palatino Linotype" w:hAnsi="Palatino Linotype"/>
          <w:sz w:val="20"/>
          <w:szCs w:val="20"/>
        </w:rPr>
        <w:t xml:space="preserve">cimento de servidores das áreas </w:t>
      </w:r>
      <w:r w:rsidR="005A0E63" w:rsidRPr="005C04C6">
        <w:rPr>
          <w:rFonts w:ascii="Palatino Linotype" w:hAnsi="Palatino Linotype"/>
          <w:sz w:val="20"/>
          <w:szCs w:val="20"/>
        </w:rPr>
        <w:t>de educação, saúde e segurança;</w:t>
      </w:r>
    </w:p>
    <w:p w:rsidR="00852F35" w:rsidRPr="005C04C6" w:rsidRDefault="00852F35" w:rsidP="005A0E63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5C04C6">
        <w:rPr>
          <w:rFonts w:ascii="Palatino Linotype" w:hAnsi="Palatino Linotype"/>
          <w:sz w:val="20"/>
          <w:szCs w:val="20"/>
        </w:rPr>
        <w:t>V – contratação de hora extra, salvo no caso do disposto no inciso II do § 6o do art. 57 da Constituição e as situações previstas na lei de diretrizes orç</w:t>
      </w:r>
      <w:r w:rsidRPr="005C04C6">
        <w:rPr>
          <w:rFonts w:ascii="Palatino Linotype" w:hAnsi="Palatino Linotype"/>
          <w:sz w:val="20"/>
          <w:szCs w:val="20"/>
        </w:rPr>
        <w:t>a</w:t>
      </w:r>
      <w:r w:rsidRPr="005C04C6">
        <w:rPr>
          <w:rFonts w:ascii="Palatino Linotype" w:hAnsi="Palatino Linotype"/>
          <w:sz w:val="20"/>
          <w:szCs w:val="20"/>
        </w:rPr>
        <w:t>mentárias.</w:t>
      </w:r>
    </w:p>
    <w:p w:rsidR="00852F35" w:rsidRPr="005C04C6" w:rsidRDefault="00852F35" w:rsidP="007A2BD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5C04C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C04C6">
        <w:rPr>
          <w:rFonts w:ascii="Palatino Linotype" w:hAnsi="Palatino Linotype"/>
          <w:b/>
          <w:sz w:val="24"/>
          <w:szCs w:val="24"/>
        </w:rPr>
        <w:t>CONCLUSÃO</w:t>
      </w:r>
    </w:p>
    <w:p w:rsidR="005C04C6" w:rsidRDefault="005C04C6" w:rsidP="005C04C6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5C04C6" w:rsidRPr="005C04C6" w:rsidRDefault="005C04C6" w:rsidP="005C04C6">
      <w:pPr>
        <w:spacing w:after="0" w:line="36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5C04C6">
        <w:rPr>
          <w:rFonts w:ascii="Palatino Linotype" w:hAnsi="Palatino Linotype"/>
          <w:b/>
          <w:sz w:val="24"/>
          <w:szCs w:val="24"/>
        </w:rPr>
        <w:t>opina</w:t>
      </w:r>
      <w:r w:rsidRPr="005C04C6">
        <w:rPr>
          <w:rFonts w:ascii="Palatino Linotype" w:hAnsi="Palatino Linotype"/>
          <w:sz w:val="24"/>
          <w:szCs w:val="24"/>
        </w:rPr>
        <w:t xml:space="preserve"> pela legalidade e pela regular tram</w:t>
      </w:r>
      <w:r w:rsidRPr="005C04C6">
        <w:rPr>
          <w:rFonts w:ascii="Palatino Linotype" w:hAnsi="Palatino Linotype"/>
          <w:sz w:val="24"/>
          <w:szCs w:val="24"/>
        </w:rPr>
        <w:t>i</w:t>
      </w:r>
      <w:r w:rsidRPr="005C04C6">
        <w:rPr>
          <w:rFonts w:ascii="Palatino Linotype" w:hAnsi="Palatino Linotype"/>
          <w:sz w:val="24"/>
          <w:szCs w:val="24"/>
        </w:rPr>
        <w:t>tação do Projeto de Lei</w:t>
      </w:r>
      <w:r w:rsidR="00B83A81">
        <w:rPr>
          <w:rFonts w:ascii="Palatino Linotype" w:hAnsi="Palatino Linotype"/>
          <w:sz w:val="24"/>
          <w:szCs w:val="24"/>
        </w:rPr>
        <w:t xml:space="preserve"> do Executivo</w:t>
      </w:r>
      <w:r w:rsidRPr="005C04C6">
        <w:rPr>
          <w:rFonts w:ascii="Palatino Linotype" w:hAnsi="Palatino Linotype"/>
          <w:sz w:val="24"/>
          <w:szCs w:val="24"/>
        </w:rPr>
        <w:t xml:space="preserve"> nº 0</w:t>
      </w:r>
      <w:r w:rsidR="00645AEA">
        <w:rPr>
          <w:rFonts w:ascii="Palatino Linotype" w:hAnsi="Palatino Linotype"/>
          <w:sz w:val="24"/>
          <w:szCs w:val="24"/>
        </w:rPr>
        <w:t>26</w:t>
      </w:r>
      <w:r w:rsidRPr="005C04C6">
        <w:rPr>
          <w:rFonts w:ascii="Palatino Linotype" w:hAnsi="Palatino Linotype"/>
          <w:sz w:val="24"/>
          <w:szCs w:val="24"/>
        </w:rPr>
        <w:t>/202</w:t>
      </w:r>
      <w:r w:rsidR="00645AEA">
        <w:rPr>
          <w:rFonts w:ascii="Palatino Linotype" w:hAnsi="Palatino Linotype"/>
          <w:sz w:val="24"/>
          <w:szCs w:val="24"/>
        </w:rPr>
        <w:t>4</w:t>
      </w:r>
      <w:r w:rsidRPr="005C04C6">
        <w:rPr>
          <w:rFonts w:ascii="Palatino Linotype" w:hAnsi="Palatino Linotype"/>
          <w:sz w:val="24"/>
          <w:szCs w:val="24"/>
        </w:rPr>
        <w:t xml:space="preserve">, de iniciativa do </w:t>
      </w:r>
      <w:r w:rsidR="0067665F">
        <w:rPr>
          <w:rFonts w:ascii="Palatino Linotype" w:hAnsi="Palatino Linotype"/>
          <w:sz w:val="24"/>
          <w:szCs w:val="24"/>
        </w:rPr>
        <w:t xml:space="preserve">Poder </w:t>
      </w:r>
      <w:r w:rsidRPr="005C04C6">
        <w:rPr>
          <w:rFonts w:ascii="Palatino Linotype" w:hAnsi="Palatino Linotype"/>
          <w:sz w:val="24"/>
          <w:szCs w:val="24"/>
        </w:rPr>
        <w:t>Executivo Municipal, por inexistirem vícios materiais ou formais que impeçam a sua deliber</w:t>
      </w:r>
      <w:r w:rsidRPr="005C04C6">
        <w:rPr>
          <w:rFonts w:ascii="Palatino Linotype" w:hAnsi="Palatino Linotype"/>
          <w:sz w:val="24"/>
          <w:szCs w:val="24"/>
        </w:rPr>
        <w:t>a</w:t>
      </w:r>
      <w:r w:rsidRPr="005C04C6">
        <w:rPr>
          <w:rFonts w:ascii="Palatino Linotype" w:hAnsi="Palatino Linotype"/>
          <w:sz w:val="24"/>
          <w:szCs w:val="24"/>
        </w:rPr>
        <w:t>ção em Plenário</w:t>
      </w:r>
      <w:r>
        <w:rPr>
          <w:rFonts w:ascii="Palatino Linotype" w:hAnsi="Palatino Linotype"/>
          <w:sz w:val="24"/>
          <w:szCs w:val="24"/>
        </w:rPr>
        <w:t>.</w:t>
      </w:r>
    </w:p>
    <w:p w:rsidR="00F85172" w:rsidRPr="005C04C6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A0E63" w:rsidRPr="005C04C6" w:rsidRDefault="005A0E63" w:rsidP="005A0E6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É o parecer.</w:t>
      </w:r>
    </w:p>
    <w:p w:rsidR="005A0E63" w:rsidRPr="005C04C6" w:rsidRDefault="005A0E63" w:rsidP="005A0E63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C7445E" w:rsidRDefault="005A0E63" w:rsidP="005A0E63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 xml:space="preserve">Guaíba, </w:t>
      </w:r>
      <w:r w:rsidR="00645AEA">
        <w:rPr>
          <w:rFonts w:ascii="Palatino Linotype" w:hAnsi="Palatino Linotype"/>
          <w:sz w:val="24"/>
          <w:szCs w:val="24"/>
        </w:rPr>
        <w:t>19</w:t>
      </w:r>
      <w:r w:rsidRPr="005C04C6">
        <w:rPr>
          <w:rFonts w:ascii="Palatino Linotype" w:hAnsi="Palatino Linotype"/>
          <w:sz w:val="24"/>
          <w:szCs w:val="24"/>
        </w:rPr>
        <w:t xml:space="preserve"> de </w:t>
      </w:r>
      <w:r w:rsidR="00645AEA">
        <w:rPr>
          <w:rFonts w:ascii="Palatino Linotype" w:hAnsi="Palatino Linotype"/>
          <w:sz w:val="24"/>
          <w:szCs w:val="24"/>
        </w:rPr>
        <w:t>març</w:t>
      </w:r>
      <w:r w:rsidRPr="005C04C6">
        <w:rPr>
          <w:rFonts w:ascii="Palatino Linotype" w:hAnsi="Palatino Linotype"/>
          <w:sz w:val="24"/>
          <w:szCs w:val="24"/>
        </w:rPr>
        <w:t>o de 202</w:t>
      </w:r>
      <w:r w:rsidR="00645AEA">
        <w:rPr>
          <w:rFonts w:ascii="Palatino Linotype" w:hAnsi="Palatino Linotype"/>
          <w:sz w:val="24"/>
          <w:szCs w:val="24"/>
        </w:rPr>
        <w:t>4</w:t>
      </w:r>
      <w:r w:rsidRPr="005C04C6">
        <w:rPr>
          <w:rFonts w:ascii="Palatino Linotype" w:hAnsi="Palatino Linotype"/>
          <w:sz w:val="24"/>
          <w:szCs w:val="24"/>
        </w:rPr>
        <w:t>.</w:t>
      </w:r>
    </w:p>
    <w:p w:rsidR="00B83A81" w:rsidRPr="005C04C6" w:rsidRDefault="00B83A81" w:rsidP="005A0E63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5A0E63" w:rsidRPr="005C04C6" w:rsidRDefault="005A0E63" w:rsidP="00B83A81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5A0E63" w:rsidRPr="005C04C6" w:rsidRDefault="00420460" w:rsidP="00B83A81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5C04C6">
        <w:rPr>
          <w:rFonts w:ascii="Palatino Linotype" w:hAnsi="Palatino Linotype"/>
          <w:b/>
          <w:sz w:val="24"/>
          <w:szCs w:val="24"/>
        </w:rPr>
        <w:t>FERNANDO HENRIQUE ESCOBAR BINS</w:t>
      </w:r>
      <w:r w:rsidRPr="005C04C6">
        <w:rPr>
          <w:rFonts w:ascii="Palatino Linotype" w:hAnsi="Palatino Linotype"/>
          <w:b/>
          <w:sz w:val="24"/>
          <w:szCs w:val="24"/>
        </w:rPr>
        <w:tab/>
      </w:r>
    </w:p>
    <w:p w:rsidR="005A0E63" w:rsidRPr="005C04C6" w:rsidRDefault="005A0E63" w:rsidP="00B83A81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Procurador</w:t>
      </w:r>
      <w:r w:rsidR="00420460" w:rsidRPr="005C04C6">
        <w:rPr>
          <w:rFonts w:ascii="Palatino Linotype" w:hAnsi="Palatino Linotype"/>
          <w:sz w:val="24"/>
          <w:szCs w:val="24"/>
        </w:rPr>
        <w:t xml:space="preserve">-Geral </w:t>
      </w:r>
    </w:p>
    <w:p w:rsidR="005A0E63" w:rsidRPr="005C04C6" w:rsidRDefault="005A0E63" w:rsidP="00B83A81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5C04C6">
        <w:rPr>
          <w:rFonts w:ascii="Palatino Linotype" w:hAnsi="Palatino Linotype"/>
          <w:sz w:val="24"/>
          <w:szCs w:val="24"/>
        </w:rPr>
        <w:t>OAB/RS nº 10</w:t>
      </w:r>
      <w:r w:rsidR="00420460" w:rsidRPr="005C04C6">
        <w:rPr>
          <w:rFonts w:ascii="Palatino Linotype" w:hAnsi="Palatino Linotype"/>
          <w:sz w:val="24"/>
          <w:szCs w:val="24"/>
        </w:rPr>
        <w:t>7</w:t>
      </w:r>
      <w:r w:rsidRPr="005C04C6">
        <w:rPr>
          <w:rFonts w:ascii="Palatino Linotype" w:hAnsi="Palatino Linotype"/>
          <w:sz w:val="24"/>
          <w:szCs w:val="24"/>
        </w:rPr>
        <w:t>.1</w:t>
      </w:r>
      <w:r w:rsidR="00420460" w:rsidRPr="005C04C6">
        <w:rPr>
          <w:rFonts w:ascii="Palatino Linotype" w:hAnsi="Palatino Linotype"/>
          <w:sz w:val="24"/>
          <w:szCs w:val="24"/>
        </w:rPr>
        <w:t>36</w:t>
      </w:r>
    </w:p>
    <w:sectPr w:rsidR="005A0E63" w:rsidRPr="005C04C6" w:rsidSect="00E61B34">
      <w:headerReference w:type="default" r:id="rId8"/>
      <w:foot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0AF" w:rsidRDefault="005960AF" w:rsidP="00B365A3">
      <w:pPr>
        <w:spacing w:after="0" w:line="240" w:lineRule="auto"/>
      </w:pPr>
      <w:r>
        <w:separator/>
      </w:r>
    </w:p>
  </w:endnote>
  <w:endnote w:type="continuationSeparator" w:id="1">
    <w:p w:rsidR="005960AF" w:rsidRDefault="005960AF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991266"/>
      <w:docPartObj>
        <w:docPartGallery w:val="Page Numbers (Bottom of Page)"/>
        <w:docPartUnique/>
      </w:docPartObj>
    </w:sdtPr>
    <w:sdtContent>
      <w:p w:rsidR="000E0E1E" w:rsidRDefault="0090324D">
        <w:pPr>
          <w:pStyle w:val="Rodap"/>
          <w:jc w:val="right"/>
        </w:pPr>
        <w:fldSimple w:instr=" PAGE   \* MERGEFORMAT ">
          <w:r w:rsidR="00201958">
            <w:rPr>
              <w:noProof/>
            </w:rPr>
            <w:t>7</w:t>
          </w:r>
        </w:fldSimple>
      </w:p>
    </w:sdtContent>
  </w:sdt>
  <w:p w:rsidR="000E0E1E" w:rsidRDefault="000E0E1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0AF" w:rsidRDefault="005960AF" w:rsidP="00B365A3">
      <w:pPr>
        <w:spacing w:after="0" w:line="240" w:lineRule="auto"/>
      </w:pPr>
      <w:r>
        <w:separator/>
      </w:r>
    </w:p>
  </w:footnote>
  <w:footnote w:type="continuationSeparator" w:id="1">
    <w:p w:rsidR="005960AF" w:rsidRDefault="005960AF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25289"/>
    <w:rsid w:val="00032713"/>
    <w:rsid w:val="00036BC1"/>
    <w:rsid w:val="00040AAA"/>
    <w:rsid w:val="000714D3"/>
    <w:rsid w:val="000E0E1E"/>
    <w:rsid w:val="000E4D31"/>
    <w:rsid w:val="00110DB4"/>
    <w:rsid w:val="001144C0"/>
    <w:rsid w:val="00145575"/>
    <w:rsid w:val="00170F27"/>
    <w:rsid w:val="001C4ECF"/>
    <w:rsid w:val="001D2526"/>
    <w:rsid w:val="001D2AE2"/>
    <w:rsid w:val="001F5FE9"/>
    <w:rsid w:val="001F6BDB"/>
    <w:rsid w:val="00201958"/>
    <w:rsid w:val="0028506C"/>
    <w:rsid w:val="002F3F87"/>
    <w:rsid w:val="00315236"/>
    <w:rsid w:val="003206AA"/>
    <w:rsid w:val="003617F4"/>
    <w:rsid w:val="003B119C"/>
    <w:rsid w:val="00406432"/>
    <w:rsid w:val="0041616C"/>
    <w:rsid w:val="00420460"/>
    <w:rsid w:val="0058012C"/>
    <w:rsid w:val="00581DBA"/>
    <w:rsid w:val="005960AF"/>
    <w:rsid w:val="005A0E63"/>
    <w:rsid w:val="005C04C6"/>
    <w:rsid w:val="006007AC"/>
    <w:rsid w:val="00645AEA"/>
    <w:rsid w:val="00647160"/>
    <w:rsid w:val="0067665F"/>
    <w:rsid w:val="00694326"/>
    <w:rsid w:val="006A0B2F"/>
    <w:rsid w:val="006A7E86"/>
    <w:rsid w:val="006B45BF"/>
    <w:rsid w:val="006F13F1"/>
    <w:rsid w:val="007153A1"/>
    <w:rsid w:val="00726C82"/>
    <w:rsid w:val="0073238A"/>
    <w:rsid w:val="007854E6"/>
    <w:rsid w:val="007A2BD8"/>
    <w:rsid w:val="00803B27"/>
    <w:rsid w:val="00811016"/>
    <w:rsid w:val="008138B2"/>
    <w:rsid w:val="008165C9"/>
    <w:rsid w:val="00820BFB"/>
    <w:rsid w:val="008426D4"/>
    <w:rsid w:val="00847C81"/>
    <w:rsid w:val="00852F35"/>
    <w:rsid w:val="008A02A8"/>
    <w:rsid w:val="008A2E15"/>
    <w:rsid w:val="008B3AF9"/>
    <w:rsid w:val="008B4487"/>
    <w:rsid w:val="008C5844"/>
    <w:rsid w:val="008C70F1"/>
    <w:rsid w:val="008E543F"/>
    <w:rsid w:val="0090324D"/>
    <w:rsid w:val="00905B60"/>
    <w:rsid w:val="00956DE0"/>
    <w:rsid w:val="00963ED9"/>
    <w:rsid w:val="00965DF3"/>
    <w:rsid w:val="009677B1"/>
    <w:rsid w:val="00971749"/>
    <w:rsid w:val="009762CB"/>
    <w:rsid w:val="00985D6C"/>
    <w:rsid w:val="00992829"/>
    <w:rsid w:val="009A1232"/>
    <w:rsid w:val="009B7D3B"/>
    <w:rsid w:val="009D3E7D"/>
    <w:rsid w:val="009E03A3"/>
    <w:rsid w:val="00A679E3"/>
    <w:rsid w:val="00A77DF1"/>
    <w:rsid w:val="00A808BC"/>
    <w:rsid w:val="00A90C14"/>
    <w:rsid w:val="00A91A8F"/>
    <w:rsid w:val="00AA6C48"/>
    <w:rsid w:val="00AE7F0E"/>
    <w:rsid w:val="00AF6E8B"/>
    <w:rsid w:val="00B365A3"/>
    <w:rsid w:val="00B83A81"/>
    <w:rsid w:val="00C12338"/>
    <w:rsid w:val="00C30CFC"/>
    <w:rsid w:val="00C42BAE"/>
    <w:rsid w:val="00C47D02"/>
    <w:rsid w:val="00C7445E"/>
    <w:rsid w:val="00CE3C31"/>
    <w:rsid w:val="00CF77C8"/>
    <w:rsid w:val="00D34E8A"/>
    <w:rsid w:val="00D41A99"/>
    <w:rsid w:val="00D74168"/>
    <w:rsid w:val="00D81000"/>
    <w:rsid w:val="00DA60DF"/>
    <w:rsid w:val="00DA7A73"/>
    <w:rsid w:val="00DE6698"/>
    <w:rsid w:val="00E501C1"/>
    <w:rsid w:val="00E5368A"/>
    <w:rsid w:val="00E549D5"/>
    <w:rsid w:val="00E61B34"/>
    <w:rsid w:val="00EC3378"/>
    <w:rsid w:val="00F17B55"/>
    <w:rsid w:val="00F53D50"/>
    <w:rsid w:val="00F6334E"/>
    <w:rsid w:val="00F6465F"/>
    <w:rsid w:val="00F85172"/>
    <w:rsid w:val="00F94625"/>
    <w:rsid w:val="00F96977"/>
    <w:rsid w:val="00FE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3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42BA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42BA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42BA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0DD3A-7F79-420D-92C8-B5F1B826F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2111</Words>
  <Characters>11400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45</cp:revision>
  <cp:lastPrinted>2017-10-02T20:41:00Z</cp:lastPrinted>
  <dcterms:created xsi:type="dcterms:W3CDTF">2022-03-03T17:07:00Z</dcterms:created>
  <dcterms:modified xsi:type="dcterms:W3CDTF">2024-03-19T14:14:00Z</dcterms:modified>
</cp:coreProperties>
</file>