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D168F0" w:rsidRDefault="00CA75BC" w:rsidP="007A53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D168F0">
        <w:rPr>
          <w:rFonts w:ascii="Palatino Linotype" w:hAnsi="Palatino Linotype"/>
          <w:b/>
          <w:sz w:val="24"/>
          <w:szCs w:val="24"/>
        </w:rPr>
        <w:t>P</w:t>
      </w:r>
      <w:r w:rsidR="008138B2" w:rsidRPr="00D168F0">
        <w:rPr>
          <w:rFonts w:ascii="Palatino Linotype" w:hAnsi="Palatino Linotype"/>
          <w:b/>
          <w:sz w:val="24"/>
          <w:szCs w:val="24"/>
        </w:rPr>
        <w:t>ARECER JURÍDICO</w:t>
      </w:r>
      <w:r w:rsidR="00530641" w:rsidRPr="00D168F0">
        <w:rPr>
          <w:rFonts w:ascii="Palatino Linotype" w:hAnsi="Palatino Linotype"/>
          <w:b/>
          <w:sz w:val="24"/>
          <w:szCs w:val="24"/>
        </w:rPr>
        <w:t xml:space="preserve"> Nº </w:t>
      </w:r>
      <w:r w:rsidR="00CF039D" w:rsidRPr="00D168F0">
        <w:rPr>
          <w:rFonts w:ascii="Palatino Linotype" w:hAnsi="Palatino Linotype"/>
          <w:b/>
          <w:sz w:val="24"/>
          <w:szCs w:val="24"/>
        </w:rPr>
        <w:t>13</w:t>
      </w:r>
      <w:r w:rsidR="0056044A">
        <w:rPr>
          <w:rFonts w:ascii="Palatino Linotype" w:hAnsi="Palatino Linotype"/>
          <w:b/>
          <w:sz w:val="24"/>
          <w:szCs w:val="24"/>
        </w:rPr>
        <w:t>9</w:t>
      </w:r>
      <w:r w:rsidR="00745297" w:rsidRPr="00D168F0">
        <w:rPr>
          <w:rFonts w:ascii="Palatino Linotype" w:hAnsi="Palatino Linotype"/>
          <w:b/>
          <w:sz w:val="24"/>
          <w:szCs w:val="24"/>
        </w:rPr>
        <w:t>/202</w:t>
      </w:r>
      <w:r w:rsidR="00CF039D" w:rsidRPr="00D168F0">
        <w:rPr>
          <w:rFonts w:ascii="Palatino Linotype" w:hAnsi="Palatino Linotype"/>
          <w:b/>
          <w:sz w:val="24"/>
          <w:szCs w:val="24"/>
        </w:rPr>
        <w:t>4</w:t>
      </w:r>
    </w:p>
    <w:p w:rsidR="00650D2A" w:rsidRPr="00D168F0" w:rsidRDefault="00650D2A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8138B2" w:rsidRPr="00D168F0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168F0">
        <w:rPr>
          <w:rFonts w:ascii="Palatino Linotype" w:hAnsi="Palatino Linotype"/>
          <w:b/>
          <w:sz w:val="24"/>
          <w:szCs w:val="24"/>
        </w:rPr>
        <w:t>RELATÓRIO</w:t>
      </w:r>
    </w:p>
    <w:p w:rsidR="008138B2" w:rsidRPr="00D168F0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71666" w:rsidRPr="00D168F0" w:rsidRDefault="00BD6434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 xml:space="preserve">O Projeto de Lei do Legislativo n.º </w:t>
      </w:r>
      <w:r w:rsidR="00CF039D" w:rsidRPr="00D168F0">
        <w:rPr>
          <w:rFonts w:ascii="Palatino Linotype" w:hAnsi="Palatino Linotype"/>
          <w:sz w:val="24"/>
          <w:szCs w:val="24"/>
        </w:rPr>
        <w:t>063</w:t>
      </w:r>
      <w:r w:rsidRPr="00D168F0">
        <w:rPr>
          <w:rFonts w:ascii="Palatino Linotype" w:hAnsi="Palatino Linotype"/>
          <w:sz w:val="24"/>
          <w:szCs w:val="24"/>
        </w:rPr>
        <w:t>/202</w:t>
      </w:r>
      <w:r w:rsidR="00CF039D" w:rsidRPr="00D168F0">
        <w:rPr>
          <w:rFonts w:ascii="Palatino Linotype" w:hAnsi="Palatino Linotype"/>
          <w:sz w:val="24"/>
          <w:szCs w:val="24"/>
        </w:rPr>
        <w:t>4</w:t>
      </w:r>
      <w:r w:rsidRPr="00D168F0">
        <w:rPr>
          <w:rFonts w:ascii="Palatino Linotype" w:hAnsi="Palatino Linotype"/>
          <w:sz w:val="24"/>
          <w:szCs w:val="24"/>
        </w:rPr>
        <w:t>, de autoria d</w:t>
      </w:r>
      <w:r w:rsidR="00BF0280" w:rsidRPr="00D168F0">
        <w:rPr>
          <w:rFonts w:ascii="Palatino Linotype" w:hAnsi="Palatino Linotype"/>
          <w:sz w:val="24"/>
          <w:szCs w:val="24"/>
        </w:rPr>
        <w:t>o</w:t>
      </w:r>
      <w:r w:rsidRPr="00D168F0">
        <w:rPr>
          <w:rFonts w:ascii="Palatino Linotype" w:hAnsi="Palatino Linotype"/>
          <w:sz w:val="24"/>
          <w:szCs w:val="24"/>
        </w:rPr>
        <w:t xml:space="preserve"> Vereador </w:t>
      </w:r>
      <w:r w:rsidR="00BF0280" w:rsidRPr="00D168F0">
        <w:rPr>
          <w:rFonts w:ascii="Palatino Linotype" w:hAnsi="Palatino Linotype"/>
          <w:sz w:val="24"/>
          <w:szCs w:val="24"/>
        </w:rPr>
        <w:t>Alex Medeiros (PP)</w:t>
      </w:r>
      <w:r w:rsidRPr="00D168F0">
        <w:rPr>
          <w:rFonts w:ascii="Palatino Linotype" w:hAnsi="Palatino Linotype"/>
          <w:sz w:val="24"/>
          <w:szCs w:val="24"/>
        </w:rPr>
        <w:t>, o qual “</w:t>
      </w:r>
      <w:r w:rsidR="00CF039D" w:rsidRPr="00D168F0">
        <w:rPr>
          <w:rFonts w:ascii="Palatino Linotype" w:hAnsi="Palatino Linotype"/>
          <w:sz w:val="24"/>
          <w:szCs w:val="24"/>
        </w:rPr>
        <w:t>Cria a Política Municipal de Apoio e Fomento ao Desassor</w:t>
      </w:r>
      <w:r w:rsidR="00CF039D" w:rsidRPr="00D168F0">
        <w:rPr>
          <w:rFonts w:ascii="Palatino Linotype" w:hAnsi="Palatino Linotype"/>
          <w:sz w:val="24"/>
          <w:szCs w:val="24"/>
        </w:rPr>
        <w:t>e</w:t>
      </w:r>
      <w:r w:rsidR="00CF039D" w:rsidRPr="00D168F0">
        <w:rPr>
          <w:rFonts w:ascii="Palatino Linotype" w:hAnsi="Palatino Linotype"/>
          <w:sz w:val="24"/>
          <w:szCs w:val="24"/>
        </w:rPr>
        <w:t>amento de rios, arroios, açudes, lagos, lagoas, lagunas e canais visando à prevenção e minimização dos efe</w:t>
      </w:r>
      <w:r w:rsidR="00CF039D" w:rsidRPr="00D168F0">
        <w:rPr>
          <w:rFonts w:ascii="Palatino Linotype" w:hAnsi="Palatino Linotype"/>
          <w:sz w:val="24"/>
          <w:szCs w:val="24"/>
        </w:rPr>
        <w:t>i</w:t>
      </w:r>
      <w:r w:rsidR="00CF039D" w:rsidRPr="00D168F0">
        <w:rPr>
          <w:rFonts w:ascii="Palatino Linotype" w:hAnsi="Palatino Linotype"/>
          <w:sz w:val="24"/>
          <w:szCs w:val="24"/>
        </w:rPr>
        <w:t>tos e danos causados por enchentes, inundações e alagamentos no território guaibense e dá outras providências</w:t>
      </w:r>
      <w:r w:rsidRPr="00D168F0">
        <w:rPr>
          <w:rFonts w:ascii="Palatino Linotype" w:hAnsi="Palatino Linotype"/>
          <w:sz w:val="24"/>
          <w:szCs w:val="24"/>
        </w:rPr>
        <w:t>”, foi encaminhado a esta Procurad</w:t>
      </w:r>
      <w:r w:rsidRPr="00D168F0">
        <w:rPr>
          <w:rFonts w:ascii="Palatino Linotype" w:hAnsi="Palatino Linotype"/>
          <w:sz w:val="24"/>
          <w:szCs w:val="24"/>
        </w:rPr>
        <w:t>o</w:t>
      </w:r>
      <w:r w:rsidRPr="00D168F0">
        <w:rPr>
          <w:rFonts w:ascii="Palatino Linotype" w:hAnsi="Palatino Linotype"/>
          <w:sz w:val="24"/>
          <w:szCs w:val="24"/>
        </w:rPr>
        <w:t>ria Jurídica pelo Presidente da C</w:t>
      </w:r>
      <w:r w:rsidRPr="00D168F0">
        <w:rPr>
          <w:rFonts w:ascii="Palatino Linotype" w:hAnsi="Palatino Linotype"/>
          <w:sz w:val="24"/>
          <w:szCs w:val="24"/>
        </w:rPr>
        <w:t>â</w:t>
      </w:r>
      <w:r w:rsidRPr="00D168F0">
        <w:rPr>
          <w:rFonts w:ascii="Palatino Linotype" w:hAnsi="Palatino Linotype"/>
          <w:sz w:val="24"/>
          <w:szCs w:val="24"/>
        </w:rPr>
        <w:t>mara Municipal para análise com fulcro no art. 94 do Regimento Interno, a fim de que seja efetivado o exe</w:t>
      </w:r>
      <w:r w:rsidRPr="00D168F0">
        <w:rPr>
          <w:rFonts w:ascii="Palatino Linotype" w:hAnsi="Palatino Linotype"/>
          <w:sz w:val="24"/>
          <w:szCs w:val="24"/>
        </w:rPr>
        <w:t>r</w:t>
      </w:r>
      <w:r w:rsidRPr="00D168F0">
        <w:rPr>
          <w:rFonts w:ascii="Palatino Linotype" w:hAnsi="Palatino Linotype"/>
          <w:sz w:val="24"/>
          <w:szCs w:val="24"/>
        </w:rPr>
        <w:t>cício de controle quanto à constitucionalidade e legalidade da proposição.</w:t>
      </w:r>
    </w:p>
    <w:p w:rsidR="00BD6434" w:rsidRPr="00D168F0" w:rsidRDefault="00BD6434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38B2" w:rsidRPr="00D168F0" w:rsidRDefault="00CA75BC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168F0">
        <w:rPr>
          <w:rFonts w:ascii="Palatino Linotype" w:hAnsi="Palatino Linotype"/>
          <w:b/>
          <w:sz w:val="24"/>
          <w:szCs w:val="24"/>
        </w:rPr>
        <w:t>MÉRITO</w:t>
      </w:r>
    </w:p>
    <w:p w:rsidR="008138B2" w:rsidRPr="00D168F0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D2579" w:rsidRPr="00D168F0" w:rsidRDefault="00DD2579" w:rsidP="00DD2579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De fato, a norma insculpida no art. 94 do Regimento Interno da Câmara Munic</w:t>
      </w:r>
      <w:r w:rsidRPr="00D168F0">
        <w:rPr>
          <w:rFonts w:ascii="Palatino Linotype" w:hAnsi="Palatino Linotype"/>
          <w:sz w:val="24"/>
          <w:szCs w:val="24"/>
        </w:rPr>
        <w:t>i</w:t>
      </w:r>
      <w:r w:rsidRPr="00D168F0">
        <w:rPr>
          <w:rFonts w:ascii="Palatino Linotype" w:hAnsi="Palatino Linotype"/>
          <w:sz w:val="24"/>
          <w:szCs w:val="24"/>
        </w:rPr>
        <w:t>pal de Guaíba prevê que cabe ao Presidente do Legislativo a prerrogativa de devolver ao autor as proposições manifestadamente inconstitucionais ou ilegais (art. 94, §1º). O mesmo controle já é exercido no âmbito da Câmara dos Deputados, com base em seu Regimento Interno (art. 137, §1º), e no Regimento Interno do Senado F</w:t>
      </w:r>
      <w:r w:rsidRPr="00D168F0">
        <w:rPr>
          <w:rFonts w:ascii="Palatino Linotype" w:hAnsi="Palatino Linotype"/>
          <w:sz w:val="24"/>
          <w:szCs w:val="24"/>
        </w:rPr>
        <w:t>e</w:t>
      </w:r>
      <w:r w:rsidRPr="00D168F0">
        <w:rPr>
          <w:rFonts w:ascii="Palatino Linotype" w:hAnsi="Palatino Linotype"/>
          <w:sz w:val="24"/>
          <w:szCs w:val="24"/>
        </w:rPr>
        <w:t>deral (art. 48, XI) e foi replicado em diversos outros regimentos internos de outros parlamentos brasileiros.</w:t>
      </w:r>
    </w:p>
    <w:p w:rsidR="00DD2579" w:rsidRPr="00D168F0" w:rsidRDefault="00DD2579" w:rsidP="00DD2579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DD2579" w:rsidRPr="00D168F0" w:rsidRDefault="00DD2579" w:rsidP="00513EA5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A própria doutrina jurídica prevê o instituto do controle de constitucion</w:t>
      </w:r>
      <w:r w:rsidRPr="00D168F0">
        <w:rPr>
          <w:rFonts w:ascii="Palatino Linotype" w:hAnsi="Palatino Linotype"/>
          <w:sz w:val="24"/>
          <w:szCs w:val="24"/>
        </w:rPr>
        <w:t>a</w:t>
      </w:r>
      <w:r w:rsidRPr="00D168F0">
        <w:rPr>
          <w:rFonts w:ascii="Palatino Linotype" w:hAnsi="Palatino Linotype"/>
          <w:sz w:val="24"/>
          <w:szCs w:val="24"/>
        </w:rPr>
        <w:t>lidade político também chamado de controle preventivo, através de exame perfun</w:t>
      </w:r>
      <w:r w:rsidRPr="00D168F0">
        <w:rPr>
          <w:rFonts w:ascii="Palatino Linotype" w:hAnsi="Palatino Linotype"/>
          <w:sz w:val="24"/>
          <w:szCs w:val="24"/>
        </w:rPr>
        <w:t>c</w:t>
      </w:r>
      <w:r w:rsidRPr="00D168F0">
        <w:rPr>
          <w:rFonts w:ascii="Palatino Linotype" w:hAnsi="Palatino Linotype"/>
          <w:sz w:val="24"/>
          <w:szCs w:val="24"/>
        </w:rPr>
        <w:t>tório pela Presidência da Mesa Diretora.</w:t>
      </w:r>
      <w:r w:rsidR="00513EA5" w:rsidRPr="00D168F0">
        <w:rPr>
          <w:rFonts w:ascii="Palatino Linotype" w:hAnsi="Palatino Linotype"/>
          <w:sz w:val="24"/>
          <w:szCs w:val="24"/>
        </w:rPr>
        <w:t xml:space="preserve"> </w:t>
      </w:r>
      <w:r w:rsidRPr="00D168F0">
        <w:rPr>
          <w:rFonts w:ascii="Palatino Linotype" w:hAnsi="Palatino Linotype"/>
          <w:sz w:val="24"/>
          <w:szCs w:val="24"/>
        </w:rPr>
        <w:t>A devolução será efetivada mediante desp</w:t>
      </w:r>
      <w:r w:rsidRPr="00D168F0">
        <w:rPr>
          <w:rFonts w:ascii="Palatino Linotype" w:hAnsi="Palatino Linotype"/>
          <w:sz w:val="24"/>
          <w:szCs w:val="24"/>
        </w:rPr>
        <w:t>a</w:t>
      </w:r>
      <w:r w:rsidRPr="00D168F0">
        <w:rPr>
          <w:rFonts w:ascii="Palatino Linotype" w:hAnsi="Palatino Linotype"/>
          <w:sz w:val="24"/>
          <w:szCs w:val="24"/>
        </w:rPr>
        <w:t xml:space="preserve">cho fundamentado da Presidência, sempre indicando o artigo constitucional, da Lei </w:t>
      </w:r>
      <w:r w:rsidRPr="00D168F0">
        <w:rPr>
          <w:rFonts w:ascii="Palatino Linotype" w:hAnsi="Palatino Linotype"/>
          <w:sz w:val="24"/>
          <w:szCs w:val="24"/>
        </w:rPr>
        <w:lastRenderedPageBreak/>
        <w:t>Orgânica ou Regimental violado, garantido o direito do autor de recorrer dessa dec</w:t>
      </w:r>
      <w:r w:rsidRPr="00D168F0">
        <w:rPr>
          <w:rFonts w:ascii="Palatino Linotype" w:hAnsi="Palatino Linotype"/>
          <w:sz w:val="24"/>
          <w:szCs w:val="24"/>
        </w:rPr>
        <w:t>i</w:t>
      </w:r>
      <w:r w:rsidRPr="00D168F0">
        <w:rPr>
          <w:rFonts w:ascii="Palatino Linotype" w:hAnsi="Palatino Linotype"/>
          <w:sz w:val="24"/>
          <w:szCs w:val="24"/>
        </w:rPr>
        <w:t>são ao Plenário, conforme o art. 94, parágrafo único do RI.</w:t>
      </w:r>
    </w:p>
    <w:p w:rsidR="00DD2579" w:rsidRPr="00D168F0" w:rsidRDefault="00DD2579" w:rsidP="00BF0280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</w:p>
    <w:p w:rsidR="00CA75BC" w:rsidRPr="00D168F0" w:rsidRDefault="00CA75BC" w:rsidP="00CA75B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O artigo 18 da Constituição Federal de 1988, inaugurando o tema da org</w:t>
      </w:r>
      <w:r w:rsidRPr="00D168F0">
        <w:rPr>
          <w:rFonts w:ascii="Palatino Linotype" w:hAnsi="Palatino Linotype"/>
          <w:sz w:val="24"/>
          <w:szCs w:val="24"/>
        </w:rPr>
        <w:t>a</w:t>
      </w:r>
      <w:r w:rsidRPr="00D168F0">
        <w:rPr>
          <w:rFonts w:ascii="Palatino Linotype" w:hAnsi="Palatino Linotype"/>
          <w:sz w:val="24"/>
          <w:szCs w:val="24"/>
        </w:rPr>
        <w:t>nização do Estado, prevê que “A organização político-administrativa da República Federativa do Brasil compreende a União, os Estados, o Distrito Federal e os Munic</w:t>
      </w:r>
      <w:r w:rsidRPr="00D168F0">
        <w:rPr>
          <w:rFonts w:ascii="Palatino Linotype" w:hAnsi="Palatino Linotype"/>
          <w:sz w:val="24"/>
          <w:szCs w:val="24"/>
        </w:rPr>
        <w:t>í</w:t>
      </w:r>
      <w:r w:rsidRPr="00D168F0">
        <w:rPr>
          <w:rFonts w:ascii="Palatino Linotype" w:hAnsi="Palatino Linotype"/>
          <w:sz w:val="24"/>
          <w:szCs w:val="24"/>
        </w:rPr>
        <w:t xml:space="preserve">pios, </w:t>
      </w:r>
      <w:r w:rsidRPr="00D168F0">
        <w:rPr>
          <w:rFonts w:ascii="Palatino Linotype" w:hAnsi="Palatino Linotype"/>
          <w:b/>
          <w:sz w:val="24"/>
          <w:szCs w:val="24"/>
        </w:rPr>
        <w:t>todos autônomos</w:t>
      </w:r>
      <w:r w:rsidRPr="00D168F0">
        <w:rPr>
          <w:rFonts w:ascii="Palatino Linotype" w:hAnsi="Palatino Linotype"/>
          <w:sz w:val="24"/>
          <w:szCs w:val="24"/>
        </w:rPr>
        <w:t>, nos termos desta Constituição.” O termo “autonomia polít</w:t>
      </w:r>
      <w:r w:rsidRPr="00D168F0">
        <w:rPr>
          <w:rFonts w:ascii="Palatino Linotype" w:hAnsi="Palatino Linotype"/>
          <w:sz w:val="24"/>
          <w:szCs w:val="24"/>
        </w:rPr>
        <w:t>i</w:t>
      </w:r>
      <w:r w:rsidRPr="00D168F0">
        <w:rPr>
          <w:rFonts w:ascii="Palatino Linotype" w:hAnsi="Palatino Linotype"/>
          <w:sz w:val="24"/>
          <w:szCs w:val="24"/>
        </w:rPr>
        <w:t>ca”, sob o ponto de vista jurídico, congrega um conjunto de capacidades conferidas aos entes federados para instituir sua organização, legislação, administração e gove</w:t>
      </w:r>
      <w:r w:rsidRPr="00D168F0">
        <w:rPr>
          <w:rFonts w:ascii="Palatino Linotype" w:hAnsi="Palatino Linotype"/>
          <w:sz w:val="24"/>
          <w:szCs w:val="24"/>
        </w:rPr>
        <w:t>r</w:t>
      </w:r>
      <w:r w:rsidRPr="00D168F0">
        <w:rPr>
          <w:rFonts w:ascii="Palatino Linotype" w:hAnsi="Palatino Linotype"/>
          <w:sz w:val="24"/>
          <w:szCs w:val="24"/>
        </w:rPr>
        <w:t>no próprios.</w:t>
      </w:r>
    </w:p>
    <w:p w:rsidR="00CA75BC" w:rsidRPr="00D168F0" w:rsidRDefault="00CA75BC" w:rsidP="00CA75B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A75BC" w:rsidRPr="00D168F0" w:rsidRDefault="00CA75BC" w:rsidP="00CA75B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 xml:space="preserve">A autoadministração e a autolegislação, contemplando o conjunto de competências materiais e legislativas previstas na Constituição Federal para os </w:t>
      </w:r>
      <w:r w:rsidR="0024338B" w:rsidRPr="00D168F0">
        <w:rPr>
          <w:rFonts w:ascii="Palatino Linotype" w:hAnsi="Palatino Linotype"/>
          <w:sz w:val="24"/>
          <w:szCs w:val="24"/>
        </w:rPr>
        <w:t>M</w:t>
      </w:r>
      <w:r w:rsidRPr="00D168F0">
        <w:rPr>
          <w:rFonts w:ascii="Palatino Linotype" w:hAnsi="Palatino Linotype"/>
          <w:sz w:val="24"/>
          <w:szCs w:val="24"/>
        </w:rPr>
        <w:t>u</w:t>
      </w:r>
      <w:r w:rsidRPr="00D168F0">
        <w:rPr>
          <w:rFonts w:ascii="Palatino Linotype" w:hAnsi="Palatino Linotype"/>
          <w:sz w:val="24"/>
          <w:szCs w:val="24"/>
        </w:rPr>
        <w:t>nicípios, é tratada no artigo 30 da Lei Maior, nos seguintes termos:</w:t>
      </w:r>
    </w:p>
    <w:p w:rsidR="00CA75BC" w:rsidRPr="00D168F0" w:rsidRDefault="00CA75BC" w:rsidP="00CA75B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A75BC" w:rsidRPr="00D168F0" w:rsidRDefault="00CA75BC" w:rsidP="00CA75BC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168F0">
        <w:rPr>
          <w:rFonts w:ascii="Palatino Linotype" w:hAnsi="Palatino Linotype"/>
          <w:sz w:val="20"/>
          <w:szCs w:val="20"/>
        </w:rPr>
        <w:t>Art. 30. Compete aos Municípios:</w:t>
      </w:r>
    </w:p>
    <w:p w:rsidR="00CA75BC" w:rsidRPr="00D168F0" w:rsidRDefault="00CA75BC" w:rsidP="00CA75BC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D168F0">
        <w:rPr>
          <w:rFonts w:ascii="Palatino Linotype" w:hAnsi="Palatino Linotype"/>
          <w:b/>
          <w:sz w:val="20"/>
          <w:szCs w:val="20"/>
        </w:rPr>
        <w:t>I - legislar sobre assuntos de interesse local;</w:t>
      </w:r>
    </w:p>
    <w:p w:rsidR="00CA75BC" w:rsidRPr="00D168F0" w:rsidRDefault="00CA75BC" w:rsidP="00CA75BC">
      <w:pPr>
        <w:spacing w:after="0" w:line="240" w:lineRule="auto"/>
        <w:ind w:left="2268"/>
        <w:jc w:val="both"/>
        <w:rPr>
          <w:rFonts w:ascii="Palatino Linotype" w:hAnsi="Palatino Linotype"/>
          <w:b/>
          <w:sz w:val="20"/>
          <w:szCs w:val="20"/>
        </w:rPr>
      </w:pPr>
      <w:r w:rsidRPr="00D168F0">
        <w:rPr>
          <w:rFonts w:ascii="Palatino Linotype" w:hAnsi="Palatino Linotype"/>
          <w:b/>
          <w:sz w:val="20"/>
          <w:szCs w:val="20"/>
        </w:rPr>
        <w:t>II - suplementar a legislação federal e a estadual no que couber;</w:t>
      </w:r>
    </w:p>
    <w:p w:rsidR="00CA75BC" w:rsidRPr="00D168F0" w:rsidRDefault="00CA75BC" w:rsidP="00CA75BC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168F0">
        <w:rPr>
          <w:rFonts w:ascii="Palatino Linotype" w:hAnsi="Palatino Linotype"/>
          <w:sz w:val="20"/>
          <w:szCs w:val="20"/>
        </w:rPr>
        <w:t>III - instituir e arrecadar os tributos de sua competência, bem como aplicar suas rendas, sem prejuízo da obrigatoriedade de prestar contas e publicar balancetes nos prazos fixados em lei;</w:t>
      </w:r>
    </w:p>
    <w:p w:rsidR="00CA75BC" w:rsidRPr="00D168F0" w:rsidRDefault="00CA75BC" w:rsidP="00CA75BC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168F0">
        <w:rPr>
          <w:rFonts w:ascii="Palatino Linotype" w:hAnsi="Palatino Linotype"/>
          <w:sz w:val="20"/>
          <w:szCs w:val="20"/>
        </w:rPr>
        <w:t>IV - criar, organizar e suprimir distritos, observada a legislação estadual;</w:t>
      </w:r>
    </w:p>
    <w:p w:rsidR="00CA75BC" w:rsidRPr="00D168F0" w:rsidRDefault="00CA75BC" w:rsidP="00CA75BC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168F0">
        <w:rPr>
          <w:rFonts w:ascii="Palatino Linotype" w:hAnsi="Palatino Linotype"/>
          <w:sz w:val="20"/>
          <w:szCs w:val="20"/>
        </w:rPr>
        <w:t>V - organizar e prestar, diretamente ou sob regime de concessão ou permi</w:t>
      </w:r>
      <w:r w:rsidRPr="00D168F0">
        <w:rPr>
          <w:rFonts w:ascii="Palatino Linotype" w:hAnsi="Palatino Linotype"/>
          <w:sz w:val="20"/>
          <w:szCs w:val="20"/>
        </w:rPr>
        <w:t>s</w:t>
      </w:r>
      <w:r w:rsidRPr="00D168F0">
        <w:rPr>
          <w:rFonts w:ascii="Palatino Linotype" w:hAnsi="Palatino Linotype"/>
          <w:sz w:val="20"/>
          <w:szCs w:val="20"/>
        </w:rPr>
        <w:t>são, os serviços públicos de interesse local, incluído o de transporte coletivo, que tem c</w:t>
      </w:r>
      <w:r w:rsidRPr="00D168F0">
        <w:rPr>
          <w:rFonts w:ascii="Palatino Linotype" w:hAnsi="Palatino Linotype"/>
          <w:sz w:val="20"/>
          <w:szCs w:val="20"/>
        </w:rPr>
        <w:t>a</w:t>
      </w:r>
      <w:r w:rsidRPr="00D168F0">
        <w:rPr>
          <w:rFonts w:ascii="Palatino Linotype" w:hAnsi="Palatino Linotype"/>
          <w:sz w:val="20"/>
          <w:szCs w:val="20"/>
        </w:rPr>
        <w:t>ráter essencial;</w:t>
      </w:r>
    </w:p>
    <w:p w:rsidR="00CA75BC" w:rsidRPr="00D168F0" w:rsidRDefault="00CA75BC" w:rsidP="00CA75BC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168F0">
        <w:rPr>
          <w:rFonts w:ascii="Palatino Linotype" w:hAnsi="Palatino Linotype"/>
          <w:sz w:val="20"/>
          <w:szCs w:val="20"/>
        </w:rPr>
        <w:t>VI - manter, com a cooperação técnica e financeira da União e do Estado, programas de educação infantil e de ensino fundamental; (Redação dada p</w:t>
      </w:r>
      <w:r w:rsidRPr="00D168F0">
        <w:rPr>
          <w:rFonts w:ascii="Palatino Linotype" w:hAnsi="Palatino Linotype"/>
          <w:sz w:val="20"/>
          <w:szCs w:val="20"/>
        </w:rPr>
        <w:t>e</w:t>
      </w:r>
      <w:r w:rsidRPr="00D168F0">
        <w:rPr>
          <w:rFonts w:ascii="Palatino Linotype" w:hAnsi="Palatino Linotype"/>
          <w:sz w:val="20"/>
          <w:szCs w:val="20"/>
        </w:rPr>
        <w:t>la Emenda Constitucional nº 53, de 2006)</w:t>
      </w:r>
    </w:p>
    <w:p w:rsidR="00CA75BC" w:rsidRPr="00D168F0" w:rsidRDefault="00CA75BC" w:rsidP="00CA75BC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168F0">
        <w:rPr>
          <w:rFonts w:ascii="Palatino Linotype" w:hAnsi="Palatino Linotype"/>
          <w:sz w:val="20"/>
          <w:szCs w:val="20"/>
        </w:rPr>
        <w:t>VII - prestar, com a cooperação técnica e financeira da União e do Estado, serviços de atendimento à saúde da população;</w:t>
      </w:r>
    </w:p>
    <w:p w:rsidR="00CA75BC" w:rsidRPr="00D168F0" w:rsidRDefault="00CA75BC" w:rsidP="00CA75BC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168F0">
        <w:rPr>
          <w:rFonts w:ascii="Palatino Linotype" w:hAnsi="Palatino Linotype"/>
          <w:sz w:val="20"/>
          <w:szCs w:val="20"/>
        </w:rPr>
        <w:t>VIII - promover, no que couber, adequado ordenamento territorial, mediante planejamento e controle do uso, do parcelamento e da ocupação do solo u</w:t>
      </w:r>
      <w:r w:rsidRPr="00D168F0">
        <w:rPr>
          <w:rFonts w:ascii="Palatino Linotype" w:hAnsi="Palatino Linotype"/>
          <w:sz w:val="20"/>
          <w:szCs w:val="20"/>
        </w:rPr>
        <w:t>r</w:t>
      </w:r>
      <w:r w:rsidRPr="00D168F0">
        <w:rPr>
          <w:rFonts w:ascii="Palatino Linotype" w:hAnsi="Palatino Linotype"/>
          <w:sz w:val="20"/>
          <w:szCs w:val="20"/>
        </w:rPr>
        <w:t>bano;</w:t>
      </w:r>
    </w:p>
    <w:p w:rsidR="00CA75BC" w:rsidRPr="00D168F0" w:rsidRDefault="00CA75BC" w:rsidP="00CA75BC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168F0">
        <w:rPr>
          <w:rFonts w:ascii="Palatino Linotype" w:hAnsi="Palatino Linotype"/>
          <w:sz w:val="20"/>
          <w:szCs w:val="20"/>
        </w:rPr>
        <w:t>IX - promover a proteção do patrimônio histórico-cultural local, observada a legi</w:t>
      </w:r>
      <w:r w:rsidRPr="00D168F0">
        <w:rPr>
          <w:rFonts w:ascii="Palatino Linotype" w:hAnsi="Palatino Linotype"/>
          <w:sz w:val="20"/>
          <w:szCs w:val="20"/>
        </w:rPr>
        <w:t>s</w:t>
      </w:r>
      <w:r w:rsidRPr="00D168F0">
        <w:rPr>
          <w:rFonts w:ascii="Palatino Linotype" w:hAnsi="Palatino Linotype"/>
          <w:sz w:val="20"/>
          <w:szCs w:val="20"/>
        </w:rPr>
        <w:t>lação e a ação fiscalizadora federal e estadual.</w:t>
      </w:r>
    </w:p>
    <w:p w:rsidR="00A10C21" w:rsidRPr="00D168F0" w:rsidRDefault="00A10C21" w:rsidP="00A10C21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</w:p>
    <w:p w:rsidR="00A10C21" w:rsidRPr="00D168F0" w:rsidRDefault="00A10C21" w:rsidP="00A10C2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lastRenderedPageBreak/>
        <w:t>Quanto à matéria de fundo, não há qualquer óbice à proposta. Conforme dispõe o artigo 30, I, da Constituição Federal de 1988, “Compete aos Municípios l</w:t>
      </w:r>
      <w:r w:rsidRPr="00D168F0">
        <w:rPr>
          <w:rFonts w:ascii="Palatino Linotype" w:hAnsi="Palatino Linotype"/>
          <w:sz w:val="24"/>
          <w:szCs w:val="24"/>
        </w:rPr>
        <w:t>e</w:t>
      </w:r>
      <w:r w:rsidRPr="00D168F0">
        <w:rPr>
          <w:rFonts w:ascii="Palatino Linotype" w:hAnsi="Palatino Linotype"/>
          <w:sz w:val="24"/>
          <w:szCs w:val="24"/>
        </w:rPr>
        <w:t>gislar sobre assuntos de interesse local.” No mesmo sentido, o artigo 6º, I, da Lei O</w:t>
      </w:r>
      <w:r w:rsidRPr="00D168F0">
        <w:rPr>
          <w:rFonts w:ascii="Palatino Linotype" w:hAnsi="Palatino Linotype"/>
          <w:sz w:val="24"/>
          <w:szCs w:val="24"/>
        </w:rPr>
        <w:t>r</w:t>
      </w:r>
      <w:r w:rsidRPr="00D168F0">
        <w:rPr>
          <w:rFonts w:ascii="Palatino Linotype" w:hAnsi="Palatino Linotype"/>
          <w:sz w:val="24"/>
          <w:szCs w:val="24"/>
        </w:rPr>
        <w:t>gânica do Município de Guaíba refere que “Ao Município compete prover a tudo quanto diga respeito ao seu peculiar interesse e ao bem estar de sua população, c</w:t>
      </w:r>
      <w:r w:rsidRPr="00D168F0">
        <w:rPr>
          <w:rFonts w:ascii="Palatino Linotype" w:hAnsi="Palatino Linotype"/>
          <w:sz w:val="24"/>
          <w:szCs w:val="24"/>
        </w:rPr>
        <w:t>a</w:t>
      </w:r>
      <w:r w:rsidRPr="00D168F0">
        <w:rPr>
          <w:rFonts w:ascii="Palatino Linotype" w:hAnsi="Palatino Linotype"/>
          <w:sz w:val="24"/>
          <w:szCs w:val="24"/>
        </w:rPr>
        <w:t>bendo-lhe privativamente, dentre outras, as seguintes atribuições: legislar sobre a</w:t>
      </w:r>
      <w:r w:rsidRPr="00D168F0">
        <w:rPr>
          <w:rFonts w:ascii="Palatino Linotype" w:hAnsi="Palatino Linotype"/>
          <w:sz w:val="24"/>
          <w:szCs w:val="24"/>
        </w:rPr>
        <w:t>s</w:t>
      </w:r>
      <w:r w:rsidRPr="00D168F0">
        <w:rPr>
          <w:rFonts w:ascii="Palatino Linotype" w:hAnsi="Palatino Linotype"/>
          <w:sz w:val="24"/>
          <w:szCs w:val="24"/>
        </w:rPr>
        <w:t>sunto de interesse local.”</w:t>
      </w:r>
    </w:p>
    <w:p w:rsidR="00A10C21" w:rsidRPr="00D168F0" w:rsidRDefault="00A10C21" w:rsidP="004058B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A10C21" w:rsidRPr="00D168F0" w:rsidRDefault="00A10C21" w:rsidP="00A10C2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O Projeto de Lei</w:t>
      </w:r>
      <w:r w:rsidR="00CF039D" w:rsidRPr="00D168F0">
        <w:rPr>
          <w:rFonts w:ascii="Palatino Linotype" w:hAnsi="Palatino Linotype"/>
          <w:sz w:val="24"/>
          <w:szCs w:val="24"/>
        </w:rPr>
        <w:t xml:space="preserve"> do Legislativo</w:t>
      </w:r>
      <w:r w:rsidRPr="00D168F0">
        <w:rPr>
          <w:rFonts w:ascii="Palatino Linotype" w:hAnsi="Palatino Linotype"/>
          <w:sz w:val="24"/>
          <w:szCs w:val="24"/>
        </w:rPr>
        <w:t xml:space="preserve"> nº </w:t>
      </w:r>
      <w:r w:rsidR="00CF039D" w:rsidRPr="00D168F0">
        <w:rPr>
          <w:rFonts w:ascii="Palatino Linotype" w:hAnsi="Palatino Linotype"/>
          <w:sz w:val="24"/>
          <w:szCs w:val="24"/>
        </w:rPr>
        <w:t>063</w:t>
      </w:r>
      <w:r w:rsidR="00975A45" w:rsidRPr="00D168F0">
        <w:rPr>
          <w:rFonts w:ascii="Palatino Linotype" w:hAnsi="Palatino Linotype"/>
          <w:sz w:val="24"/>
          <w:szCs w:val="24"/>
        </w:rPr>
        <w:t>/202</w:t>
      </w:r>
      <w:r w:rsidR="00CF039D" w:rsidRPr="00D168F0">
        <w:rPr>
          <w:rFonts w:ascii="Palatino Linotype" w:hAnsi="Palatino Linotype"/>
          <w:sz w:val="24"/>
          <w:szCs w:val="24"/>
        </w:rPr>
        <w:t>4</w:t>
      </w:r>
      <w:r w:rsidRPr="00D168F0">
        <w:rPr>
          <w:rFonts w:ascii="Palatino Linotype" w:hAnsi="Palatino Linotype"/>
          <w:sz w:val="24"/>
          <w:szCs w:val="24"/>
        </w:rPr>
        <w:t xml:space="preserve"> se insere, efetivamente, na d</w:t>
      </w:r>
      <w:r w:rsidRPr="00D168F0">
        <w:rPr>
          <w:rFonts w:ascii="Palatino Linotype" w:hAnsi="Palatino Linotype"/>
          <w:sz w:val="24"/>
          <w:szCs w:val="24"/>
        </w:rPr>
        <w:t>e</w:t>
      </w:r>
      <w:r w:rsidRPr="00D168F0">
        <w:rPr>
          <w:rFonts w:ascii="Palatino Linotype" w:hAnsi="Palatino Linotype"/>
          <w:sz w:val="24"/>
          <w:szCs w:val="24"/>
        </w:rPr>
        <w:t xml:space="preserve">finição de interesse local, já que apenas institui, no Município de Guaíba, </w:t>
      </w:r>
      <w:r w:rsidR="00CF039D" w:rsidRPr="00D168F0">
        <w:rPr>
          <w:rFonts w:ascii="Palatino Linotype" w:hAnsi="Palatino Linotype"/>
          <w:sz w:val="24"/>
          <w:szCs w:val="24"/>
        </w:rPr>
        <w:t>a</w:t>
      </w:r>
      <w:r w:rsidRPr="00D168F0">
        <w:rPr>
          <w:rFonts w:ascii="Palatino Linotype" w:hAnsi="Palatino Linotype"/>
          <w:sz w:val="24"/>
          <w:szCs w:val="24"/>
        </w:rPr>
        <w:t xml:space="preserve"> “</w:t>
      </w:r>
      <w:r w:rsidR="00CF039D" w:rsidRPr="00D168F0">
        <w:rPr>
          <w:rFonts w:ascii="Palatino Linotype" w:hAnsi="Palatino Linotype"/>
          <w:sz w:val="24"/>
          <w:szCs w:val="24"/>
        </w:rPr>
        <w:t>Política Municipal de Apoio e Fomento ao Desassoreamento</w:t>
      </w:r>
      <w:r w:rsidRPr="00D168F0">
        <w:rPr>
          <w:rFonts w:ascii="Palatino Linotype" w:hAnsi="Palatino Linotype"/>
          <w:sz w:val="24"/>
          <w:szCs w:val="24"/>
        </w:rPr>
        <w:t xml:space="preserve">”. A fixação de </w:t>
      </w:r>
      <w:r w:rsidR="00CF039D" w:rsidRPr="00D168F0">
        <w:rPr>
          <w:rFonts w:ascii="Palatino Linotype" w:hAnsi="Palatino Linotype"/>
          <w:sz w:val="24"/>
          <w:szCs w:val="24"/>
        </w:rPr>
        <w:t>programas rel</w:t>
      </w:r>
      <w:r w:rsidR="00CF039D" w:rsidRPr="00D168F0">
        <w:rPr>
          <w:rFonts w:ascii="Palatino Linotype" w:hAnsi="Palatino Linotype"/>
          <w:sz w:val="24"/>
          <w:szCs w:val="24"/>
        </w:rPr>
        <w:t>a</w:t>
      </w:r>
      <w:r w:rsidR="00CF039D" w:rsidRPr="00D168F0">
        <w:rPr>
          <w:rFonts w:ascii="Palatino Linotype" w:hAnsi="Palatino Linotype"/>
          <w:sz w:val="24"/>
          <w:szCs w:val="24"/>
        </w:rPr>
        <w:t>cionados ao meio a</w:t>
      </w:r>
      <w:r w:rsidR="00CF039D" w:rsidRPr="00D168F0">
        <w:rPr>
          <w:rFonts w:ascii="Palatino Linotype" w:hAnsi="Palatino Linotype"/>
          <w:sz w:val="24"/>
          <w:szCs w:val="24"/>
        </w:rPr>
        <w:t>m</w:t>
      </w:r>
      <w:r w:rsidR="00CF039D" w:rsidRPr="00D168F0">
        <w:rPr>
          <w:rFonts w:ascii="Palatino Linotype" w:hAnsi="Palatino Linotype"/>
          <w:sz w:val="24"/>
          <w:szCs w:val="24"/>
        </w:rPr>
        <w:t xml:space="preserve">biente em </w:t>
      </w:r>
      <w:r w:rsidRPr="00D168F0">
        <w:rPr>
          <w:rFonts w:ascii="Palatino Linotype" w:hAnsi="Palatino Linotype"/>
          <w:sz w:val="24"/>
          <w:szCs w:val="24"/>
        </w:rPr>
        <w:t>âmbito municipal atende ao interesse local porque busca impulsionar setores, grupos ou atividades relevantes à comunidade, incent</w:t>
      </w:r>
      <w:r w:rsidRPr="00D168F0">
        <w:rPr>
          <w:rFonts w:ascii="Palatino Linotype" w:hAnsi="Palatino Linotype"/>
          <w:sz w:val="24"/>
          <w:szCs w:val="24"/>
        </w:rPr>
        <w:t>i</w:t>
      </w:r>
      <w:r w:rsidRPr="00D168F0">
        <w:rPr>
          <w:rFonts w:ascii="Palatino Linotype" w:hAnsi="Palatino Linotype"/>
          <w:sz w:val="24"/>
          <w:szCs w:val="24"/>
        </w:rPr>
        <w:t>vando o debate e a criação de novas políticas p</w:t>
      </w:r>
      <w:r w:rsidRPr="00D168F0">
        <w:rPr>
          <w:rFonts w:ascii="Palatino Linotype" w:hAnsi="Palatino Linotype"/>
          <w:sz w:val="24"/>
          <w:szCs w:val="24"/>
        </w:rPr>
        <w:t>ú</w:t>
      </w:r>
      <w:r w:rsidRPr="00D168F0">
        <w:rPr>
          <w:rFonts w:ascii="Palatino Linotype" w:hAnsi="Palatino Linotype"/>
          <w:sz w:val="24"/>
          <w:szCs w:val="24"/>
        </w:rPr>
        <w:t>blicas.</w:t>
      </w:r>
    </w:p>
    <w:p w:rsidR="0096339F" w:rsidRPr="00D168F0" w:rsidRDefault="0096339F" w:rsidP="00A10C2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6339F" w:rsidRPr="00D168F0" w:rsidRDefault="0096339F" w:rsidP="0096339F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A respeito da competência suplementar dos Municípios para legislar sobre a pr</w:t>
      </w:r>
      <w:r w:rsidRPr="00D168F0">
        <w:rPr>
          <w:rFonts w:ascii="Palatino Linotype" w:hAnsi="Palatino Linotype"/>
          <w:sz w:val="24"/>
          <w:szCs w:val="24"/>
        </w:rPr>
        <w:t>o</w:t>
      </w:r>
      <w:r w:rsidRPr="00D168F0">
        <w:rPr>
          <w:rFonts w:ascii="Palatino Linotype" w:hAnsi="Palatino Linotype"/>
          <w:sz w:val="24"/>
          <w:szCs w:val="24"/>
        </w:rPr>
        <w:t>teção e defesa do meio ambiente, transcreve-se a esclarecedora lição de Paulo de Bessa A</w:t>
      </w:r>
      <w:r w:rsidRPr="00D168F0">
        <w:rPr>
          <w:rFonts w:ascii="Palatino Linotype" w:hAnsi="Palatino Linotype"/>
          <w:sz w:val="24"/>
          <w:szCs w:val="24"/>
        </w:rPr>
        <w:t>n</w:t>
      </w:r>
      <w:r w:rsidRPr="00D168F0">
        <w:rPr>
          <w:rFonts w:ascii="Palatino Linotype" w:hAnsi="Palatino Linotype"/>
          <w:sz w:val="24"/>
          <w:szCs w:val="24"/>
        </w:rPr>
        <w:t>tunes, um dos maiores expoentes em Direito Ambiental:</w:t>
      </w:r>
    </w:p>
    <w:p w:rsidR="0096339F" w:rsidRPr="00D168F0" w:rsidRDefault="0096339F" w:rsidP="0096339F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6339F" w:rsidRPr="00D168F0" w:rsidRDefault="0096339F" w:rsidP="0096339F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168F0">
        <w:rPr>
          <w:rFonts w:ascii="Palatino Linotype" w:hAnsi="Palatino Linotype"/>
          <w:b/>
          <w:sz w:val="20"/>
          <w:szCs w:val="20"/>
          <w:u w:val="single"/>
        </w:rPr>
        <w:t>Na forma do artigo 23 da Lei Fundamental, os Municípios têm competê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n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cia administrativa para defender o meio ambiente e combater a polu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i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ção</w:t>
      </w:r>
      <w:r w:rsidRPr="00D168F0">
        <w:rPr>
          <w:rFonts w:ascii="Palatino Linotype" w:hAnsi="Palatino Linotype"/>
          <w:sz w:val="20"/>
          <w:szCs w:val="20"/>
        </w:rPr>
        <w:t>. Contudo, os Municípios não estão arrolados entre as pessoas jurídicas de direito público interno encarregadas de legislar sobre meio ambiente. No entanto, seria incorreto e insensato dizer-se que os Municípios não têm co</w:t>
      </w:r>
      <w:r w:rsidRPr="00D168F0">
        <w:rPr>
          <w:rFonts w:ascii="Palatino Linotype" w:hAnsi="Palatino Linotype"/>
          <w:sz w:val="20"/>
          <w:szCs w:val="20"/>
        </w:rPr>
        <w:t>m</w:t>
      </w:r>
      <w:r w:rsidRPr="00D168F0">
        <w:rPr>
          <w:rFonts w:ascii="Palatino Linotype" w:hAnsi="Palatino Linotype"/>
          <w:sz w:val="20"/>
          <w:szCs w:val="20"/>
        </w:rPr>
        <w:t>petência legislativa em matéria ambiental. O artigo 30 da Constituição Fed</w:t>
      </w:r>
      <w:r w:rsidRPr="00D168F0">
        <w:rPr>
          <w:rFonts w:ascii="Palatino Linotype" w:hAnsi="Palatino Linotype"/>
          <w:sz w:val="20"/>
          <w:szCs w:val="20"/>
        </w:rPr>
        <w:t>e</w:t>
      </w:r>
      <w:r w:rsidRPr="00D168F0">
        <w:rPr>
          <w:rFonts w:ascii="Palatino Linotype" w:hAnsi="Palatino Linotype"/>
          <w:sz w:val="20"/>
          <w:szCs w:val="20"/>
        </w:rPr>
        <w:t>ral atribui aos Municípios competência para legislar sobre: assuntos de int</w:t>
      </w:r>
      <w:r w:rsidRPr="00D168F0">
        <w:rPr>
          <w:rFonts w:ascii="Palatino Linotype" w:hAnsi="Palatino Linotype"/>
          <w:sz w:val="20"/>
          <w:szCs w:val="20"/>
        </w:rPr>
        <w:t>e</w:t>
      </w:r>
      <w:r w:rsidRPr="00D168F0">
        <w:rPr>
          <w:rFonts w:ascii="Palatino Linotype" w:hAnsi="Palatino Linotype"/>
          <w:sz w:val="20"/>
          <w:szCs w:val="20"/>
        </w:rPr>
        <w:t>resse local; suplementar a legislação federal e estadual no que couber, pr</w:t>
      </w:r>
      <w:r w:rsidRPr="00D168F0">
        <w:rPr>
          <w:rFonts w:ascii="Palatino Linotype" w:hAnsi="Palatino Linotype"/>
          <w:sz w:val="20"/>
          <w:szCs w:val="20"/>
        </w:rPr>
        <w:t>o</w:t>
      </w:r>
      <w:r w:rsidRPr="00D168F0">
        <w:rPr>
          <w:rFonts w:ascii="Palatino Linotype" w:hAnsi="Palatino Linotype"/>
          <w:sz w:val="20"/>
          <w:szCs w:val="20"/>
        </w:rPr>
        <w:t>mover, no que couber, adequado ordenamento territorial, mediante plan</w:t>
      </w:r>
      <w:r w:rsidRPr="00D168F0">
        <w:rPr>
          <w:rFonts w:ascii="Palatino Linotype" w:hAnsi="Palatino Linotype"/>
          <w:sz w:val="20"/>
          <w:szCs w:val="20"/>
        </w:rPr>
        <w:t>e</w:t>
      </w:r>
      <w:r w:rsidRPr="00D168F0">
        <w:rPr>
          <w:rFonts w:ascii="Palatino Linotype" w:hAnsi="Palatino Linotype"/>
          <w:sz w:val="20"/>
          <w:szCs w:val="20"/>
        </w:rPr>
        <w:t>jamento e controle do uso, do parcelamento e da ocupação do solo urbano; promover a proteção do patrimônio histórico-cultural local, observada a l</w:t>
      </w:r>
      <w:r w:rsidRPr="00D168F0">
        <w:rPr>
          <w:rFonts w:ascii="Palatino Linotype" w:hAnsi="Palatino Linotype"/>
          <w:sz w:val="20"/>
          <w:szCs w:val="20"/>
        </w:rPr>
        <w:t>e</w:t>
      </w:r>
      <w:r w:rsidRPr="00D168F0">
        <w:rPr>
          <w:rFonts w:ascii="Palatino Linotype" w:hAnsi="Palatino Linotype"/>
          <w:sz w:val="20"/>
          <w:szCs w:val="20"/>
        </w:rPr>
        <w:t xml:space="preserve">gislação e a ação fiscalizadora federal e estadual. 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Está claro que o meio a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m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biente está incluído no conjunto de atribuições legislativas e administrat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i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vas municipais e, em realidade, os Municípios formam um elo fundame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n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tal na complexa cadeia de proteção ambiental. A importância dos Munic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í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lastRenderedPageBreak/>
        <w:t>pios é evidente por si mesma, pois as populações e as autoridades locais reúnem amplas condições de bem conhecer os problemas e mazelas amb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i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 xml:space="preserve">entais de cada localidade, sendo certo que são as primeiras a localizar e 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i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dentificar o problema. É através dos Municípios que se pode implementar o princípio ecológico de agir localmente, pensar globalmente</w:t>
      </w:r>
      <w:r w:rsidRPr="00D168F0">
        <w:rPr>
          <w:rFonts w:ascii="Palatino Linotype" w:hAnsi="Palatino Linotype"/>
          <w:sz w:val="20"/>
          <w:szCs w:val="20"/>
        </w:rPr>
        <w:t>.” (‘Direito ambiental’. 8ª ed. Rio de Jane</w:t>
      </w:r>
      <w:r w:rsidRPr="00D168F0">
        <w:rPr>
          <w:rFonts w:ascii="Palatino Linotype" w:hAnsi="Palatino Linotype"/>
          <w:sz w:val="20"/>
          <w:szCs w:val="20"/>
        </w:rPr>
        <w:t>i</w:t>
      </w:r>
      <w:r w:rsidRPr="00D168F0">
        <w:rPr>
          <w:rFonts w:ascii="Palatino Linotype" w:hAnsi="Palatino Linotype"/>
          <w:sz w:val="20"/>
          <w:szCs w:val="20"/>
        </w:rPr>
        <w:t>ro: Lumen Juris, 2005, pp. 77-8).</w:t>
      </w:r>
    </w:p>
    <w:p w:rsidR="0096339F" w:rsidRPr="00D168F0" w:rsidRDefault="0096339F" w:rsidP="0096339F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6339F" w:rsidRPr="00D168F0" w:rsidRDefault="0096339F" w:rsidP="0096339F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Importante, ainda, destacar o entendimento firmado no STF sobre os lim</w:t>
      </w:r>
      <w:r w:rsidRPr="00D168F0">
        <w:rPr>
          <w:rFonts w:ascii="Palatino Linotype" w:hAnsi="Palatino Linotype"/>
          <w:sz w:val="24"/>
          <w:szCs w:val="24"/>
        </w:rPr>
        <w:t>i</w:t>
      </w:r>
      <w:r w:rsidRPr="00D168F0">
        <w:rPr>
          <w:rFonts w:ascii="Palatino Linotype" w:hAnsi="Palatino Linotype"/>
          <w:sz w:val="24"/>
          <w:szCs w:val="24"/>
        </w:rPr>
        <w:t>tes da competência legislativa municipal em matéria de meio ambiente (RE nº 586.224/SP, julgado em 5/3/2015), publicado no Informativo nº 776:</w:t>
      </w:r>
    </w:p>
    <w:p w:rsidR="0096339F" w:rsidRPr="00D168F0" w:rsidRDefault="0096339F" w:rsidP="0096339F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6339F" w:rsidRPr="00D168F0" w:rsidRDefault="0096339F" w:rsidP="0096339F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168F0">
        <w:rPr>
          <w:rFonts w:ascii="Palatino Linotype" w:hAnsi="Palatino Linotype"/>
          <w:b/>
          <w:sz w:val="20"/>
          <w:szCs w:val="20"/>
          <w:u w:val="single"/>
        </w:rPr>
        <w:t>O Município é competente para legislar sobre o meio ambiente, juntame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n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te com a União e o Estado-membro/DF, no limite do seu interesse local e desde que esse regramento seja harmônico com a disciplina estabelecida pelos demais entes feder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a</w:t>
      </w:r>
      <w:r w:rsidRPr="00D168F0">
        <w:rPr>
          <w:rFonts w:ascii="Palatino Linotype" w:hAnsi="Palatino Linotype"/>
          <w:b/>
          <w:sz w:val="20"/>
          <w:szCs w:val="20"/>
          <w:u w:val="single"/>
        </w:rPr>
        <w:t>dos</w:t>
      </w:r>
      <w:r w:rsidRPr="00D168F0">
        <w:rPr>
          <w:rFonts w:ascii="Palatino Linotype" w:hAnsi="Palatino Linotype"/>
          <w:sz w:val="20"/>
          <w:szCs w:val="20"/>
        </w:rPr>
        <w:t xml:space="preserve"> (art. 24, VI, c/c o art. 30, I e II, da CF/88).</w:t>
      </w:r>
    </w:p>
    <w:p w:rsidR="00CF039D" w:rsidRPr="00D168F0" w:rsidRDefault="00CF039D" w:rsidP="00A10C2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4058B8" w:rsidRPr="00D168F0" w:rsidRDefault="00A10C21" w:rsidP="00A638A8">
      <w:pPr>
        <w:spacing w:after="0" w:line="360" w:lineRule="auto"/>
        <w:ind w:firstLine="1134"/>
        <w:jc w:val="both"/>
        <w:rPr>
          <w:rFonts w:ascii="Palatino Linotype" w:hAnsi="Palatino Linotype"/>
          <w:sz w:val="20"/>
          <w:szCs w:val="20"/>
        </w:rPr>
      </w:pPr>
      <w:r w:rsidRPr="00D168F0">
        <w:rPr>
          <w:rFonts w:ascii="Palatino Linotype" w:hAnsi="Palatino Linotype"/>
          <w:sz w:val="24"/>
          <w:szCs w:val="24"/>
        </w:rPr>
        <w:t xml:space="preserve">Ademais, </w:t>
      </w:r>
      <w:r w:rsidR="004058B8" w:rsidRPr="00D168F0">
        <w:rPr>
          <w:rFonts w:ascii="Palatino Linotype" w:hAnsi="Palatino Linotype"/>
          <w:sz w:val="24"/>
          <w:szCs w:val="24"/>
        </w:rPr>
        <w:t xml:space="preserve">verifica-se estar adequada a iniciativa para a deflagração do processo legislativo, </w:t>
      </w:r>
      <w:r w:rsidRPr="00D168F0">
        <w:rPr>
          <w:rFonts w:ascii="Palatino Linotype" w:hAnsi="Palatino Linotype"/>
          <w:sz w:val="24"/>
          <w:szCs w:val="24"/>
        </w:rPr>
        <w:t xml:space="preserve">não havendo </w:t>
      </w:r>
      <w:r w:rsidR="004058B8" w:rsidRPr="00D168F0">
        <w:rPr>
          <w:rFonts w:ascii="Palatino Linotype" w:hAnsi="Palatino Linotype"/>
          <w:sz w:val="24"/>
          <w:szCs w:val="24"/>
        </w:rPr>
        <w:t>qualquer limitação constitucional à apresentação de projeto de lei por Vereador versando sobre a matéria aqui tra</w:t>
      </w:r>
      <w:r w:rsidRPr="00D168F0">
        <w:rPr>
          <w:rFonts w:ascii="Palatino Linotype" w:hAnsi="Palatino Linotype"/>
          <w:sz w:val="24"/>
          <w:szCs w:val="24"/>
        </w:rPr>
        <w:t>tada, d</w:t>
      </w:r>
      <w:r w:rsidR="004058B8" w:rsidRPr="00D168F0">
        <w:rPr>
          <w:rFonts w:ascii="Palatino Linotype" w:hAnsi="Palatino Linotype"/>
          <w:sz w:val="24"/>
          <w:szCs w:val="24"/>
        </w:rPr>
        <w:t>esde que não sejam previstos dev</w:t>
      </w:r>
      <w:r w:rsidR="004058B8" w:rsidRPr="00D168F0">
        <w:rPr>
          <w:rFonts w:ascii="Palatino Linotype" w:hAnsi="Palatino Linotype"/>
          <w:sz w:val="24"/>
          <w:szCs w:val="24"/>
        </w:rPr>
        <w:t>e</w:t>
      </w:r>
      <w:r w:rsidR="004058B8" w:rsidRPr="00D168F0">
        <w:rPr>
          <w:rFonts w:ascii="Palatino Linotype" w:hAnsi="Palatino Linotype"/>
          <w:sz w:val="24"/>
          <w:szCs w:val="24"/>
        </w:rPr>
        <w:t>res, obrigações ou mesmo “permissões” ao Executivo no que diz respeito à logística e à op</w:t>
      </w:r>
      <w:r w:rsidR="004058B8" w:rsidRPr="00D168F0">
        <w:rPr>
          <w:rFonts w:ascii="Palatino Linotype" w:hAnsi="Palatino Linotype"/>
          <w:sz w:val="24"/>
          <w:szCs w:val="24"/>
        </w:rPr>
        <w:t>e</w:t>
      </w:r>
      <w:r w:rsidR="006366CE" w:rsidRPr="00D168F0">
        <w:rPr>
          <w:rFonts w:ascii="Palatino Linotype" w:hAnsi="Palatino Linotype"/>
          <w:sz w:val="24"/>
          <w:szCs w:val="24"/>
        </w:rPr>
        <w:t>racionalização dos pretendidos programas</w:t>
      </w:r>
      <w:r w:rsidR="004058B8" w:rsidRPr="00D168F0">
        <w:rPr>
          <w:rFonts w:ascii="Palatino Linotype" w:hAnsi="Palatino Linotype"/>
          <w:sz w:val="24"/>
          <w:szCs w:val="24"/>
        </w:rPr>
        <w:t xml:space="preserve">, o que macula o projeto de vício de iniciativa. </w:t>
      </w:r>
    </w:p>
    <w:p w:rsidR="004058B8" w:rsidRPr="00D168F0" w:rsidRDefault="004058B8" w:rsidP="00A10C21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</w:p>
    <w:p w:rsidR="00A638A8" w:rsidRPr="00D168F0" w:rsidRDefault="00A638A8" w:rsidP="00A638A8">
      <w:pPr>
        <w:spacing w:after="0" w:line="360" w:lineRule="auto"/>
        <w:ind w:firstLine="1134"/>
        <w:jc w:val="both"/>
        <w:rPr>
          <w:rFonts w:ascii="Palatino Linotype" w:hAnsi="Palatino Linotype"/>
          <w:bCs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Verifica-se, no caso, que não há qualquer limitação constitucional à prop</w:t>
      </w:r>
      <w:r w:rsidRPr="00D168F0">
        <w:rPr>
          <w:rFonts w:ascii="Palatino Linotype" w:hAnsi="Palatino Linotype"/>
          <w:sz w:val="24"/>
          <w:szCs w:val="24"/>
        </w:rPr>
        <w:t>o</w:t>
      </w:r>
      <w:r w:rsidRPr="00D168F0">
        <w:rPr>
          <w:rFonts w:ascii="Palatino Linotype" w:hAnsi="Palatino Linotype"/>
          <w:sz w:val="24"/>
          <w:szCs w:val="24"/>
        </w:rPr>
        <w:t>situra de projeto por Vereador sobre a matéria tratada, já que, com base nos fund</w:t>
      </w:r>
      <w:r w:rsidRPr="00D168F0">
        <w:rPr>
          <w:rFonts w:ascii="Palatino Linotype" w:hAnsi="Palatino Linotype"/>
          <w:sz w:val="24"/>
          <w:szCs w:val="24"/>
        </w:rPr>
        <w:t>a</w:t>
      </w:r>
      <w:r w:rsidRPr="00D168F0">
        <w:rPr>
          <w:rFonts w:ascii="Palatino Linotype" w:hAnsi="Palatino Linotype"/>
          <w:sz w:val="24"/>
          <w:szCs w:val="24"/>
        </w:rPr>
        <w:t>mentos acima expostos, não se constata qualquer hipótese de iniciativa privativa e/ou exclusiva. </w:t>
      </w:r>
      <w:r w:rsidRPr="00D168F0">
        <w:rPr>
          <w:rFonts w:ascii="Palatino Linotype" w:hAnsi="Palatino Linotype"/>
          <w:bCs/>
          <w:sz w:val="24"/>
          <w:szCs w:val="24"/>
        </w:rPr>
        <w:t>Essa ta</w:t>
      </w:r>
      <w:r w:rsidRPr="00D168F0">
        <w:rPr>
          <w:rFonts w:ascii="Palatino Linotype" w:hAnsi="Palatino Linotype"/>
          <w:bCs/>
          <w:sz w:val="24"/>
          <w:szCs w:val="24"/>
        </w:rPr>
        <w:t>m</w:t>
      </w:r>
      <w:r w:rsidRPr="00D168F0">
        <w:rPr>
          <w:rFonts w:ascii="Palatino Linotype" w:hAnsi="Palatino Linotype"/>
          <w:bCs/>
          <w:sz w:val="24"/>
          <w:szCs w:val="24"/>
        </w:rPr>
        <w:t>bém foi a conclusão do TJRS ao julgar a ADI nº 70030187793, que versou sobre diploma legal do Município de Porto Alegre (Lei Municipal nº 10.531/2008), reconhecendo que o programa que instituía programa inserido em m</w:t>
      </w:r>
      <w:r w:rsidRPr="00D168F0">
        <w:rPr>
          <w:rFonts w:ascii="Palatino Linotype" w:hAnsi="Palatino Linotype"/>
          <w:bCs/>
          <w:sz w:val="24"/>
          <w:szCs w:val="24"/>
        </w:rPr>
        <w:t>a</w:t>
      </w:r>
      <w:r w:rsidRPr="00D168F0">
        <w:rPr>
          <w:rFonts w:ascii="Palatino Linotype" w:hAnsi="Palatino Linotype"/>
          <w:bCs/>
          <w:sz w:val="24"/>
          <w:szCs w:val="24"/>
        </w:rPr>
        <w:t>téria de meio ambiente, de iniciativa parlamentar, não possuía vício de iniciativa no pr</w:t>
      </w:r>
      <w:r w:rsidRPr="00D168F0">
        <w:rPr>
          <w:rFonts w:ascii="Palatino Linotype" w:hAnsi="Palatino Linotype"/>
          <w:bCs/>
          <w:sz w:val="24"/>
          <w:szCs w:val="24"/>
        </w:rPr>
        <w:t>o</w:t>
      </w:r>
      <w:r w:rsidRPr="00D168F0">
        <w:rPr>
          <w:rFonts w:ascii="Palatino Linotype" w:hAnsi="Palatino Linotype"/>
          <w:bCs/>
          <w:sz w:val="24"/>
          <w:szCs w:val="24"/>
        </w:rPr>
        <w:t>cesso legislativo:</w:t>
      </w:r>
    </w:p>
    <w:p w:rsidR="00A638A8" w:rsidRPr="00D168F0" w:rsidRDefault="00A638A8" w:rsidP="00A638A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A638A8" w:rsidRPr="00D168F0" w:rsidRDefault="00A638A8" w:rsidP="00A638A8">
      <w:pPr>
        <w:spacing w:after="0" w:line="240" w:lineRule="auto"/>
        <w:ind w:left="2268"/>
        <w:jc w:val="both"/>
        <w:rPr>
          <w:rFonts w:ascii="Palatino Linotype" w:hAnsi="Palatino Linotype"/>
          <w:sz w:val="20"/>
          <w:szCs w:val="20"/>
        </w:rPr>
      </w:pPr>
      <w:r w:rsidRPr="00D168F0">
        <w:rPr>
          <w:rFonts w:ascii="Palatino Linotype" w:hAnsi="Palatino Linotype"/>
          <w:sz w:val="20"/>
          <w:szCs w:val="20"/>
        </w:rPr>
        <w:lastRenderedPageBreak/>
        <w:t>AÇÃO DIRETA DE INCONSTITUCIONALIDADE. NORMA MUNICIPAL QUE CRIA PROGRAMA DE REDUÇÃO GRADATIVA NO NÚMERO DE VEÍCULOS DE TRAÇÃO ANIMAL E DE VEÍCULOS DE TRAÇÃO H</w:t>
      </w:r>
      <w:r w:rsidRPr="00D168F0">
        <w:rPr>
          <w:rFonts w:ascii="Palatino Linotype" w:hAnsi="Palatino Linotype"/>
          <w:sz w:val="20"/>
          <w:szCs w:val="20"/>
        </w:rPr>
        <w:t>U</w:t>
      </w:r>
      <w:r w:rsidRPr="00D168F0">
        <w:rPr>
          <w:rFonts w:ascii="Palatino Linotype" w:hAnsi="Palatino Linotype"/>
          <w:sz w:val="20"/>
          <w:szCs w:val="20"/>
        </w:rPr>
        <w:t>MANA. VÍCIO FORMAL INEXISTENTE. Não é inconstitucional a lei de in</w:t>
      </w:r>
      <w:r w:rsidRPr="00D168F0">
        <w:rPr>
          <w:rFonts w:ascii="Palatino Linotype" w:hAnsi="Palatino Linotype"/>
          <w:sz w:val="20"/>
          <w:szCs w:val="20"/>
        </w:rPr>
        <w:t>i</w:t>
      </w:r>
      <w:r w:rsidRPr="00D168F0">
        <w:rPr>
          <w:rFonts w:ascii="Palatino Linotype" w:hAnsi="Palatino Linotype"/>
          <w:sz w:val="20"/>
          <w:szCs w:val="20"/>
        </w:rPr>
        <w:t>ciativa da Câmara de Vereadores que não atribui ao Poder Executivo quai</w:t>
      </w:r>
      <w:r w:rsidRPr="00D168F0">
        <w:rPr>
          <w:rFonts w:ascii="Palatino Linotype" w:hAnsi="Palatino Linotype"/>
          <w:sz w:val="20"/>
          <w:szCs w:val="20"/>
        </w:rPr>
        <w:t>s</w:t>
      </w:r>
      <w:r w:rsidRPr="00D168F0">
        <w:rPr>
          <w:rFonts w:ascii="Palatino Linotype" w:hAnsi="Palatino Linotype"/>
          <w:sz w:val="20"/>
          <w:szCs w:val="20"/>
        </w:rPr>
        <w:t>quer ônus e merece deste a defesa de sua constitucionalidade. AÇÃO JU</w:t>
      </w:r>
      <w:r w:rsidRPr="00D168F0">
        <w:rPr>
          <w:rFonts w:ascii="Palatino Linotype" w:hAnsi="Palatino Linotype"/>
          <w:sz w:val="20"/>
          <w:szCs w:val="20"/>
        </w:rPr>
        <w:t>L</w:t>
      </w:r>
      <w:r w:rsidRPr="00D168F0">
        <w:rPr>
          <w:rFonts w:ascii="Palatino Linotype" w:hAnsi="Palatino Linotype"/>
          <w:sz w:val="20"/>
          <w:szCs w:val="20"/>
        </w:rPr>
        <w:t>GADA IMPROCEDENTE, POR MAIORIA. (Ação Direta de Inconstitucion</w:t>
      </w:r>
      <w:r w:rsidRPr="00D168F0">
        <w:rPr>
          <w:rFonts w:ascii="Palatino Linotype" w:hAnsi="Palatino Linotype"/>
          <w:sz w:val="20"/>
          <w:szCs w:val="20"/>
        </w:rPr>
        <w:t>a</w:t>
      </w:r>
      <w:r w:rsidRPr="00D168F0">
        <w:rPr>
          <w:rFonts w:ascii="Palatino Linotype" w:hAnsi="Palatino Linotype"/>
          <w:sz w:val="20"/>
          <w:szCs w:val="20"/>
        </w:rPr>
        <w:t>lidade, Nº 70030187793, Tribunal Pleno, TJRS, Relator: Carlos Eduardo Zi</w:t>
      </w:r>
      <w:r w:rsidRPr="00D168F0">
        <w:rPr>
          <w:rFonts w:ascii="Palatino Linotype" w:hAnsi="Palatino Linotype"/>
          <w:sz w:val="20"/>
          <w:szCs w:val="20"/>
        </w:rPr>
        <w:t>e</w:t>
      </w:r>
      <w:r w:rsidRPr="00D168F0">
        <w:rPr>
          <w:rFonts w:ascii="Palatino Linotype" w:hAnsi="Palatino Linotype"/>
          <w:sz w:val="20"/>
          <w:szCs w:val="20"/>
        </w:rPr>
        <w:t>tlow Duro, Redator: Danúbio Edon Franco, Julgado em: 05-10-2009).</w:t>
      </w:r>
    </w:p>
    <w:p w:rsidR="00F00CA8" w:rsidRPr="00D168F0" w:rsidRDefault="00F00CA8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3B5259" w:rsidRPr="00D168F0" w:rsidRDefault="003B5259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Quanto à matéria de fundo, também não há qualquer óbice à proposta. Convém destacar que o objetivo principal do Projeto de Lei do Legislativo nº 063/2024 é promover a proteção dos componentes do meio ambiente natural. A Con</w:t>
      </w:r>
      <w:r w:rsidRPr="00D168F0">
        <w:rPr>
          <w:rFonts w:ascii="Palatino Linotype" w:hAnsi="Palatino Linotype"/>
          <w:sz w:val="24"/>
          <w:szCs w:val="24"/>
        </w:rPr>
        <w:t>s</w:t>
      </w:r>
      <w:r w:rsidRPr="00D168F0">
        <w:rPr>
          <w:rFonts w:ascii="Palatino Linotype" w:hAnsi="Palatino Linotype"/>
          <w:sz w:val="24"/>
          <w:szCs w:val="24"/>
        </w:rPr>
        <w:t>tituição Fed</w:t>
      </w:r>
      <w:r w:rsidRPr="00D168F0">
        <w:rPr>
          <w:rFonts w:ascii="Palatino Linotype" w:hAnsi="Palatino Linotype"/>
          <w:sz w:val="24"/>
          <w:szCs w:val="24"/>
        </w:rPr>
        <w:t>e</w:t>
      </w:r>
      <w:r w:rsidRPr="00D168F0">
        <w:rPr>
          <w:rFonts w:ascii="Palatino Linotype" w:hAnsi="Palatino Linotype"/>
          <w:sz w:val="24"/>
          <w:szCs w:val="24"/>
        </w:rPr>
        <w:t>ral, no artigo 225, caput, dispõe: “Todos têm direito ao meio ambiente ecologicamente equilibrado, bem de uso comum do povo e essencial à sadia qualid</w:t>
      </w:r>
      <w:r w:rsidRPr="00D168F0">
        <w:rPr>
          <w:rFonts w:ascii="Palatino Linotype" w:hAnsi="Palatino Linotype"/>
          <w:sz w:val="24"/>
          <w:szCs w:val="24"/>
        </w:rPr>
        <w:t>a</w:t>
      </w:r>
      <w:r w:rsidRPr="00D168F0">
        <w:rPr>
          <w:rFonts w:ascii="Palatino Linotype" w:hAnsi="Palatino Linotype"/>
          <w:sz w:val="24"/>
          <w:szCs w:val="24"/>
        </w:rPr>
        <w:t>de de vida, impondo-se ao Poder Público e à coletividade o dever de defendê-lo e preservá-lo para as presentes e futuras g</w:t>
      </w:r>
      <w:r w:rsidRPr="00D168F0">
        <w:rPr>
          <w:rFonts w:ascii="Palatino Linotype" w:hAnsi="Palatino Linotype"/>
          <w:sz w:val="24"/>
          <w:szCs w:val="24"/>
        </w:rPr>
        <w:t>e</w:t>
      </w:r>
      <w:r w:rsidRPr="00D168F0">
        <w:rPr>
          <w:rFonts w:ascii="Palatino Linotype" w:hAnsi="Palatino Linotype"/>
          <w:sz w:val="24"/>
          <w:szCs w:val="24"/>
        </w:rPr>
        <w:t xml:space="preserve">rações.” </w:t>
      </w:r>
    </w:p>
    <w:p w:rsidR="003B5259" w:rsidRPr="00D168F0" w:rsidRDefault="003B5259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E87BDB" w:rsidRPr="00D168F0" w:rsidRDefault="003B5259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O § 1º do referido art. 225 da C</w:t>
      </w:r>
      <w:r w:rsidR="00E87BDB" w:rsidRPr="00D168F0">
        <w:rPr>
          <w:rFonts w:ascii="Palatino Linotype" w:hAnsi="Palatino Linotype"/>
          <w:sz w:val="24"/>
          <w:szCs w:val="24"/>
        </w:rPr>
        <w:t>F/88</w:t>
      </w:r>
      <w:r w:rsidRPr="00D168F0">
        <w:rPr>
          <w:rFonts w:ascii="Palatino Linotype" w:hAnsi="Palatino Linotype"/>
          <w:sz w:val="24"/>
          <w:szCs w:val="24"/>
        </w:rPr>
        <w:t>, detalhando os meios de garantir a proteção ambiental, obriga o Poder Público a “proteger a fauna e a flora, vedadas, na forma da lei, as prát</w:t>
      </w:r>
      <w:r w:rsidRPr="00D168F0">
        <w:rPr>
          <w:rFonts w:ascii="Palatino Linotype" w:hAnsi="Palatino Linotype"/>
          <w:sz w:val="24"/>
          <w:szCs w:val="24"/>
        </w:rPr>
        <w:t>i</w:t>
      </w:r>
      <w:r w:rsidRPr="00D168F0">
        <w:rPr>
          <w:rFonts w:ascii="Palatino Linotype" w:hAnsi="Palatino Linotype"/>
          <w:sz w:val="24"/>
          <w:szCs w:val="24"/>
        </w:rPr>
        <w:t>cas que coloquem em risco sua função ecológica, provoquem a extinção de espécies ou subm</w:t>
      </w:r>
      <w:r w:rsidRPr="00D168F0">
        <w:rPr>
          <w:rFonts w:ascii="Palatino Linotype" w:hAnsi="Palatino Linotype"/>
          <w:sz w:val="24"/>
          <w:szCs w:val="24"/>
        </w:rPr>
        <w:t>e</w:t>
      </w:r>
      <w:r w:rsidRPr="00D168F0">
        <w:rPr>
          <w:rFonts w:ascii="Palatino Linotype" w:hAnsi="Palatino Linotype"/>
          <w:sz w:val="24"/>
          <w:szCs w:val="24"/>
        </w:rPr>
        <w:t xml:space="preserve">tam os animais a crueldade.” </w:t>
      </w:r>
    </w:p>
    <w:p w:rsidR="00E87BDB" w:rsidRPr="00D168F0" w:rsidRDefault="00E87BDB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165137" w:rsidRPr="00D168F0" w:rsidRDefault="003B5259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Do mesmo modo, o artigo 251, caput, da Constituição do Estado do Rio Grande do Sul estabelece: “</w:t>
      </w:r>
      <w:r w:rsidRPr="00D168F0">
        <w:rPr>
          <w:rFonts w:ascii="Palatino Linotype" w:hAnsi="Palatino Linotype"/>
          <w:b/>
          <w:sz w:val="24"/>
          <w:szCs w:val="24"/>
          <w:u w:val="single"/>
        </w:rPr>
        <w:t>Todos têm direito ao meio ambiente ecologicamente equilibrado, i</w:t>
      </w:r>
      <w:r w:rsidRPr="00D168F0">
        <w:rPr>
          <w:rFonts w:ascii="Palatino Linotype" w:hAnsi="Palatino Linotype"/>
          <w:b/>
          <w:sz w:val="24"/>
          <w:szCs w:val="24"/>
          <w:u w:val="single"/>
        </w:rPr>
        <w:t>m</w:t>
      </w:r>
      <w:r w:rsidRPr="00D168F0">
        <w:rPr>
          <w:rFonts w:ascii="Palatino Linotype" w:hAnsi="Palatino Linotype"/>
          <w:b/>
          <w:sz w:val="24"/>
          <w:szCs w:val="24"/>
          <w:u w:val="single"/>
        </w:rPr>
        <w:t>pondo-se ao Poder Público e à coletividade o dever de defendê-lo, preservá-lo e restaurá-lo para as presentes e futuras gerações, cabendo a todos ex</w:t>
      </w:r>
      <w:r w:rsidRPr="00D168F0">
        <w:rPr>
          <w:rFonts w:ascii="Palatino Linotype" w:hAnsi="Palatino Linotype"/>
          <w:b/>
          <w:sz w:val="24"/>
          <w:szCs w:val="24"/>
          <w:u w:val="single"/>
        </w:rPr>
        <w:t>i</w:t>
      </w:r>
      <w:r w:rsidRPr="00D168F0">
        <w:rPr>
          <w:rFonts w:ascii="Palatino Linotype" w:hAnsi="Palatino Linotype"/>
          <w:b/>
          <w:sz w:val="24"/>
          <w:szCs w:val="24"/>
          <w:u w:val="single"/>
        </w:rPr>
        <w:t>gir do Poder Público a adoção de medidas nesse sent</w:t>
      </w:r>
      <w:r w:rsidRPr="00D168F0">
        <w:rPr>
          <w:rFonts w:ascii="Palatino Linotype" w:hAnsi="Palatino Linotype"/>
          <w:b/>
          <w:sz w:val="24"/>
          <w:szCs w:val="24"/>
          <w:u w:val="single"/>
        </w:rPr>
        <w:t>i</w:t>
      </w:r>
      <w:r w:rsidRPr="00D168F0">
        <w:rPr>
          <w:rFonts w:ascii="Palatino Linotype" w:hAnsi="Palatino Linotype"/>
          <w:b/>
          <w:sz w:val="24"/>
          <w:szCs w:val="24"/>
          <w:u w:val="single"/>
        </w:rPr>
        <w:t>do</w:t>
      </w:r>
      <w:r w:rsidRPr="00D168F0">
        <w:rPr>
          <w:rFonts w:ascii="Palatino Linotype" w:hAnsi="Palatino Linotype"/>
          <w:sz w:val="24"/>
          <w:szCs w:val="24"/>
        </w:rPr>
        <w:t xml:space="preserve">.” </w:t>
      </w:r>
    </w:p>
    <w:p w:rsidR="00165137" w:rsidRPr="00D168F0" w:rsidRDefault="00165137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3B5259" w:rsidRPr="00D168F0" w:rsidRDefault="003B5259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Entre as medidas de proteção ao meio ambiente, o § 1º, VII</w:t>
      </w:r>
      <w:r w:rsidR="00C71CB4" w:rsidRPr="00D168F0">
        <w:rPr>
          <w:rFonts w:ascii="Palatino Linotype" w:hAnsi="Palatino Linotype"/>
          <w:sz w:val="24"/>
          <w:szCs w:val="24"/>
        </w:rPr>
        <w:t>,</w:t>
      </w:r>
      <w:r w:rsidR="00165137" w:rsidRPr="00D168F0">
        <w:rPr>
          <w:rFonts w:ascii="Palatino Linotype" w:hAnsi="Palatino Linotype"/>
          <w:sz w:val="24"/>
          <w:szCs w:val="24"/>
        </w:rPr>
        <w:t xml:space="preserve"> do referido a</w:t>
      </w:r>
      <w:r w:rsidR="00165137" w:rsidRPr="00D168F0">
        <w:rPr>
          <w:rFonts w:ascii="Palatino Linotype" w:hAnsi="Palatino Linotype"/>
          <w:sz w:val="24"/>
          <w:szCs w:val="24"/>
        </w:rPr>
        <w:t>r</w:t>
      </w:r>
      <w:r w:rsidR="00165137" w:rsidRPr="00D168F0">
        <w:rPr>
          <w:rFonts w:ascii="Palatino Linotype" w:hAnsi="Palatino Linotype"/>
          <w:sz w:val="24"/>
          <w:szCs w:val="24"/>
        </w:rPr>
        <w:t>tigo</w:t>
      </w:r>
      <w:r w:rsidRPr="00D168F0">
        <w:rPr>
          <w:rFonts w:ascii="Palatino Linotype" w:hAnsi="Palatino Linotype"/>
          <w:sz w:val="24"/>
          <w:szCs w:val="24"/>
        </w:rPr>
        <w:t xml:space="preserve"> prevê: “</w:t>
      </w:r>
      <w:r w:rsidRPr="00D168F0">
        <w:rPr>
          <w:rFonts w:ascii="Palatino Linotype" w:hAnsi="Palatino Linotype"/>
          <w:b/>
          <w:sz w:val="24"/>
          <w:szCs w:val="24"/>
          <w:u w:val="single"/>
        </w:rPr>
        <w:t xml:space="preserve">proteger a flora, a fauna e a paisagem natural, especialmente os cursos </w:t>
      </w:r>
      <w:r w:rsidRPr="00D168F0">
        <w:rPr>
          <w:rFonts w:ascii="Palatino Linotype" w:hAnsi="Palatino Linotype"/>
          <w:b/>
          <w:sz w:val="24"/>
          <w:szCs w:val="24"/>
          <w:u w:val="single"/>
        </w:rPr>
        <w:lastRenderedPageBreak/>
        <w:t>d’água, vedadas as práticas que coloquem em risco sua função ecológica e paisagí</w:t>
      </w:r>
      <w:r w:rsidRPr="00D168F0">
        <w:rPr>
          <w:rFonts w:ascii="Palatino Linotype" w:hAnsi="Palatino Linotype"/>
          <w:b/>
          <w:sz w:val="24"/>
          <w:szCs w:val="24"/>
          <w:u w:val="single"/>
        </w:rPr>
        <w:t>s</w:t>
      </w:r>
      <w:r w:rsidRPr="00D168F0">
        <w:rPr>
          <w:rFonts w:ascii="Palatino Linotype" w:hAnsi="Palatino Linotype"/>
          <w:b/>
          <w:sz w:val="24"/>
          <w:szCs w:val="24"/>
          <w:u w:val="single"/>
        </w:rPr>
        <w:t>tica</w:t>
      </w:r>
      <w:r w:rsidRPr="00D168F0">
        <w:rPr>
          <w:rFonts w:ascii="Palatino Linotype" w:hAnsi="Palatino Linotype"/>
          <w:sz w:val="24"/>
          <w:szCs w:val="24"/>
        </w:rPr>
        <w:t>, provoquem extinção de espécie ou su</w:t>
      </w:r>
      <w:r w:rsidRPr="00D168F0">
        <w:rPr>
          <w:rFonts w:ascii="Palatino Linotype" w:hAnsi="Palatino Linotype"/>
          <w:sz w:val="24"/>
          <w:szCs w:val="24"/>
        </w:rPr>
        <w:t>b</w:t>
      </w:r>
      <w:r w:rsidRPr="00D168F0">
        <w:rPr>
          <w:rFonts w:ascii="Palatino Linotype" w:hAnsi="Palatino Linotype"/>
          <w:sz w:val="24"/>
          <w:szCs w:val="24"/>
        </w:rPr>
        <w:t>metam os animais a crueldade.”</w:t>
      </w:r>
    </w:p>
    <w:p w:rsidR="009C56E3" w:rsidRPr="00D168F0" w:rsidRDefault="009C56E3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C56E3" w:rsidRPr="00D168F0" w:rsidRDefault="009C56E3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 xml:space="preserve">Do ponto de vista científico, </w:t>
      </w:r>
      <w:r w:rsidR="005E6A57" w:rsidRPr="00D168F0">
        <w:rPr>
          <w:rFonts w:ascii="Palatino Linotype" w:hAnsi="Palatino Linotype"/>
          <w:sz w:val="24"/>
          <w:szCs w:val="24"/>
        </w:rPr>
        <w:t>Welber Senteio Smith</w:t>
      </w:r>
      <w:r w:rsidRPr="00D168F0">
        <w:rPr>
          <w:rFonts w:ascii="Palatino Linotype" w:hAnsi="Palatino Linotype"/>
          <w:sz w:val="24"/>
          <w:szCs w:val="24"/>
        </w:rPr>
        <w:t xml:space="preserve"> </w:t>
      </w:r>
      <w:r w:rsidR="005E6A57" w:rsidRPr="00D168F0">
        <w:rPr>
          <w:rFonts w:ascii="Palatino Linotype" w:hAnsi="Palatino Linotype"/>
          <w:sz w:val="24"/>
          <w:szCs w:val="24"/>
        </w:rPr>
        <w:t xml:space="preserve">et </w:t>
      </w:r>
      <w:r w:rsidR="007928C0" w:rsidRPr="00D168F0">
        <w:rPr>
          <w:rFonts w:ascii="Palatino Linotype" w:hAnsi="Palatino Linotype"/>
          <w:sz w:val="24"/>
          <w:szCs w:val="24"/>
        </w:rPr>
        <w:t>a</w:t>
      </w:r>
      <w:r w:rsidR="005E6A57" w:rsidRPr="00D168F0">
        <w:rPr>
          <w:rFonts w:ascii="Palatino Linotype" w:hAnsi="Palatino Linotype"/>
          <w:sz w:val="24"/>
          <w:szCs w:val="24"/>
        </w:rPr>
        <w:t xml:space="preserve">l. </w:t>
      </w:r>
      <w:r w:rsidRPr="00D168F0">
        <w:rPr>
          <w:rFonts w:ascii="Palatino Linotype" w:hAnsi="Palatino Linotype"/>
          <w:sz w:val="24"/>
          <w:szCs w:val="24"/>
        </w:rPr>
        <w:t>leciona que “O aumento significativo da impermeabilização dos solos induz a diminuição na taxa de infiltração e na quantidade de águas nos terrenos. As canalizações de cursos d’água causam acúmulos e alterações nas vazões naturais das águas e a intensa moviment</w:t>
      </w:r>
      <w:r w:rsidRPr="00D168F0">
        <w:rPr>
          <w:rFonts w:ascii="Palatino Linotype" w:hAnsi="Palatino Linotype"/>
          <w:sz w:val="24"/>
          <w:szCs w:val="24"/>
        </w:rPr>
        <w:t>a</w:t>
      </w:r>
      <w:r w:rsidRPr="00D168F0">
        <w:rPr>
          <w:rFonts w:ascii="Palatino Linotype" w:hAnsi="Palatino Linotype"/>
          <w:sz w:val="24"/>
          <w:szCs w:val="24"/>
        </w:rPr>
        <w:t>ção de grandes volumes de terras por meio de terraplanagens provoca assoreame</w:t>
      </w:r>
      <w:r w:rsidRPr="00D168F0">
        <w:rPr>
          <w:rFonts w:ascii="Palatino Linotype" w:hAnsi="Palatino Linotype"/>
          <w:sz w:val="24"/>
          <w:szCs w:val="24"/>
        </w:rPr>
        <w:t>n</w:t>
      </w:r>
      <w:r w:rsidRPr="00D168F0">
        <w:rPr>
          <w:rFonts w:ascii="Palatino Linotype" w:hAnsi="Palatino Linotype"/>
          <w:sz w:val="24"/>
          <w:szCs w:val="24"/>
        </w:rPr>
        <w:t>tos e contribui para a diminuição da capacidade de vazão dos sistemas de drenagem urbana (CARVALHO et al., 2017). Como consequência desses impactos, temos o a</w:t>
      </w:r>
      <w:r w:rsidRPr="00D168F0">
        <w:rPr>
          <w:rFonts w:ascii="Palatino Linotype" w:hAnsi="Palatino Linotype"/>
          <w:sz w:val="24"/>
          <w:szCs w:val="24"/>
        </w:rPr>
        <w:t>u</w:t>
      </w:r>
      <w:r w:rsidRPr="00D168F0">
        <w:rPr>
          <w:rFonts w:ascii="Palatino Linotype" w:hAnsi="Palatino Linotype"/>
          <w:sz w:val="24"/>
          <w:szCs w:val="24"/>
        </w:rPr>
        <w:t>mento das inundações (POLI, 2013), uma vez que os episódios de ch</w:t>
      </w:r>
      <w:r w:rsidRPr="00D168F0">
        <w:rPr>
          <w:rFonts w:ascii="Palatino Linotype" w:hAnsi="Palatino Linotype"/>
          <w:sz w:val="24"/>
          <w:szCs w:val="24"/>
        </w:rPr>
        <w:t>u</w:t>
      </w:r>
      <w:r w:rsidRPr="00D168F0">
        <w:rPr>
          <w:rFonts w:ascii="Palatino Linotype" w:hAnsi="Palatino Linotype"/>
          <w:sz w:val="24"/>
          <w:szCs w:val="24"/>
        </w:rPr>
        <w:t>va e enchentes acabam tendo seus efeitos potencializados, visto a ausência de vegetação marg</w:t>
      </w:r>
      <w:r w:rsidRPr="00D168F0">
        <w:rPr>
          <w:rFonts w:ascii="Palatino Linotype" w:hAnsi="Palatino Linotype"/>
          <w:sz w:val="24"/>
          <w:szCs w:val="24"/>
        </w:rPr>
        <w:t>i</w:t>
      </w:r>
      <w:r w:rsidRPr="00D168F0">
        <w:rPr>
          <w:rFonts w:ascii="Palatino Linotype" w:hAnsi="Palatino Linotype"/>
          <w:sz w:val="24"/>
          <w:szCs w:val="24"/>
        </w:rPr>
        <w:t>nal, situação que favorece ainda o assoreamento do leito dos rios (NOVA et al., 2015). A ausência de vegetação marginal em decorrência do desmatamento culmina em des</w:t>
      </w:r>
      <w:r w:rsidRPr="00D168F0">
        <w:rPr>
          <w:rFonts w:ascii="Palatino Linotype" w:hAnsi="Palatino Linotype"/>
          <w:sz w:val="24"/>
          <w:szCs w:val="24"/>
        </w:rPr>
        <w:t>e</w:t>
      </w:r>
      <w:r w:rsidRPr="00D168F0">
        <w:rPr>
          <w:rFonts w:ascii="Palatino Linotype" w:hAnsi="Palatino Linotype"/>
          <w:sz w:val="24"/>
          <w:szCs w:val="24"/>
        </w:rPr>
        <w:t>quilíbrios de ordem física, química e ecológica, dado que a r</w:t>
      </w:r>
      <w:r w:rsidRPr="00D168F0">
        <w:rPr>
          <w:rFonts w:ascii="Palatino Linotype" w:hAnsi="Palatino Linotype"/>
          <w:sz w:val="24"/>
          <w:szCs w:val="24"/>
        </w:rPr>
        <w:t>e</w:t>
      </w:r>
      <w:r w:rsidRPr="00D168F0">
        <w:rPr>
          <w:rFonts w:ascii="Palatino Linotype" w:hAnsi="Palatino Linotype"/>
          <w:sz w:val="24"/>
          <w:szCs w:val="24"/>
        </w:rPr>
        <w:t>moção da vegetação marginal de corpos hídricos resulta na erosão do solo e consequentemente no assor</w:t>
      </w:r>
      <w:r w:rsidRPr="00D168F0">
        <w:rPr>
          <w:rFonts w:ascii="Palatino Linotype" w:hAnsi="Palatino Linotype"/>
          <w:sz w:val="24"/>
          <w:szCs w:val="24"/>
        </w:rPr>
        <w:t>e</w:t>
      </w:r>
      <w:r w:rsidRPr="00D168F0">
        <w:rPr>
          <w:rFonts w:ascii="Palatino Linotype" w:hAnsi="Palatino Linotype"/>
          <w:sz w:val="24"/>
          <w:szCs w:val="24"/>
        </w:rPr>
        <w:t>ame</w:t>
      </w:r>
      <w:r w:rsidRPr="00D168F0">
        <w:rPr>
          <w:rFonts w:ascii="Palatino Linotype" w:hAnsi="Palatino Linotype"/>
          <w:sz w:val="24"/>
          <w:szCs w:val="24"/>
        </w:rPr>
        <w:t>n</w:t>
      </w:r>
      <w:r w:rsidRPr="00D168F0">
        <w:rPr>
          <w:rFonts w:ascii="Palatino Linotype" w:hAnsi="Palatino Linotype"/>
          <w:sz w:val="24"/>
          <w:szCs w:val="24"/>
        </w:rPr>
        <w:t>to dos rios (SILVA et al., 2015b)”</w:t>
      </w:r>
      <w:r w:rsidR="005E6A57" w:rsidRPr="00D168F0">
        <w:rPr>
          <w:rStyle w:val="Refdenotaderodap"/>
          <w:rFonts w:ascii="Palatino Linotype" w:hAnsi="Palatino Linotype"/>
          <w:sz w:val="24"/>
          <w:szCs w:val="24"/>
        </w:rPr>
        <w:footnoteReference w:id="2"/>
      </w:r>
      <w:r w:rsidRPr="00D168F0">
        <w:rPr>
          <w:rFonts w:ascii="Palatino Linotype" w:hAnsi="Palatino Linotype"/>
          <w:sz w:val="24"/>
          <w:szCs w:val="24"/>
        </w:rPr>
        <w:t>.</w:t>
      </w:r>
    </w:p>
    <w:p w:rsidR="00F85512" w:rsidRPr="00D168F0" w:rsidRDefault="00F85512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85512" w:rsidRPr="00D168F0" w:rsidRDefault="00F85512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A realização de obras de desassoreamento constitui uma ação drástica e paliat</w:t>
      </w:r>
      <w:r w:rsidRPr="00D168F0">
        <w:rPr>
          <w:rFonts w:ascii="Palatino Linotype" w:hAnsi="Palatino Linotype"/>
          <w:sz w:val="24"/>
          <w:szCs w:val="24"/>
        </w:rPr>
        <w:t>i</w:t>
      </w:r>
      <w:r w:rsidRPr="00D168F0">
        <w:rPr>
          <w:rFonts w:ascii="Palatino Linotype" w:hAnsi="Palatino Linotype"/>
          <w:sz w:val="24"/>
          <w:szCs w:val="24"/>
        </w:rPr>
        <w:t>va, uma vez que não atinge a causa do problema, normalmente relacionada com os processos erosivos, por exemplo, desmatamento, altos níveis de impermeab</w:t>
      </w:r>
      <w:r w:rsidRPr="00D168F0">
        <w:rPr>
          <w:rFonts w:ascii="Palatino Linotype" w:hAnsi="Palatino Linotype"/>
          <w:sz w:val="24"/>
          <w:szCs w:val="24"/>
        </w:rPr>
        <w:t>i</w:t>
      </w:r>
      <w:r w:rsidRPr="00D168F0">
        <w:rPr>
          <w:rFonts w:ascii="Palatino Linotype" w:hAnsi="Palatino Linotype"/>
          <w:sz w:val="24"/>
          <w:szCs w:val="24"/>
        </w:rPr>
        <w:t>lização, alocação in</w:t>
      </w:r>
      <w:r w:rsidRPr="00D168F0">
        <w:rPr>
          <w:rFonts w:ascii="Palatino Linotype" w:hAnsi="Palatino Linotype"/>
          <w:sz w:val="24"/>
          <w:szCs w:val="24"/>
        </w:rPr>
        <w:t>a</w:t>
      </w:r>
      <w:r w:rsidRPr="00D168F0">
        <w:rPr>
          <w:rFonts w:ascii="Palatino Linotype" w:hAnsi="Palatino Linotype"/>
          <w:sz w:val="24"/>
          <w:szCs w:val="24"/>
        </w:rPr>
        <w:t>dequada de material particulado etc. (ZELLHUBER; SIQUEIRA, 2007).</w:t>
      </w:r>
    </w:p>
    <w:p w:rsidR="00D168F0" w:rsidRPr="00D168F0" w:rsidRDefault="00D168F0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D168F0" w:rsidRPr="00D168F0" w:rsidRDefault="00D168F0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A Política Nacional de Recursos Hídricos, instituída pela Lei Federal nº 9.433/1997, estabelece como uma de suas diretrizes a articulação da gestão de recu</w:t>
      </w:r>
      <w:r w:rsidRPr="00D168F0">
        <w:rPr>
          <w:rFonts w:ascii="Palatino Linotype" w:hAnsi="Palatino Linotype"/>
          <w:sz w:val="24"/>
          <w:szCs w:val="24"/>
        </w:rPr>
        <w:t>r</w:t>
      </w:r>
      <w:r w:rsidRPr="00D168F0">
        <w:rPr>
          <w:rFonts w:ascii="Palatino Linotype" w:hAnsi="Palatino Linotype"/>
          <w:sz w:val="24"/>
          <w:szCs w:val="24"/>
        </w:rPr>
        <w:lastRenderedPageBreak/>
        <w:t>sos hídricos com o uso e cobertura da terra, situação que mostra uma relação direta com o Pl</w:t>
      </w:r>
      <w:r w:rsidRPr="00D168F0">
        <w:rPr>
          <w:rFonts w:ascii="Palatino Linotype" w:hAnsi="Palatino Linotype"/>
          <w:sz w:val="24"/>
          <w:szCs w:val="24"/>
        </w:rPr>
        <w:t>a</w:t>
      </w:r>
      <w:r w:rsidRPr="00D168F0">
        <w:rPr>
          <w:rFonts w:ascii="Palatino Linotype" w:hAnsi="Palatino Linotype"/>
          <w:sz w:val="24"/>
          <w:szCs w:val="24"/>
        </w:rPr>
        <w:t>no Diretor Municipal, instrumento instituído pelo Estatuto da Cidade (Lei Federal 10.257/2001) - responsável pelo disciplinamento da ocupação do território e estabelecimento de diretrizes; situ</w:t>
      </w:r>
      <w:r w:rsidRPr="00D168F0">
        <w:rPr>
          <w:rFonts w:ascii="Palatino Linotype" w:hAnsi="Palatino Linotype"/>
          <w:sz w:val="24"/>
          <w:szCs w:val="24"/>
        </w:rPr>
        <w:t>a</w:t>
      </w:r>
      <w:r w:rsidRPr="00D168F0">
        <w:rPr>
          <w:rFonts w:ascii="Palatino Linotype" w:hAnsi="Palatino Linotype"/>
          <w:sz w:val="24"/>
          <w:szCs w:val="24"/>
        </w:rPr>
        <w:t>ção que pode contribuir para a redução do aporte de sedimentos para os ambientes aquát</w:t>
      </w:r>
      <w:r w:rsidRPr="00D168F0">
        <w:rPr>
          <w:rFonts w:ascii="Palatino Linotype" w:hAnsi="Palatino Linotype"/>
          <w:sz w:val="24"/>
          <w:szCs w:val="24"/>
        </w:rPr>
        <w:t>i</w:t>
      </w:r>
      <w:r w:rsidRPr="00D168F0">
        <w:rPr>
          <w:rFonts w:ascii="Palatino Linotype" w:hAnsi="Palatino Linotype"/>
          <w:sz w:val="24"/>
          <w:szCs w:val="24"/>
        </w:rPr>
        <w:t>cos.</w:t>
      </w:r>
    </w:p>
    <w:p w:rsidR="003B5259" w:rsidRPr="00D168F0" w:rsidRDefault="003B5259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85512" w:rsidRPr="00D168F0" w:rsidRDefault="00F85512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Cabe referir que a Resolução CONAMA n° 454/2012 estabelece diretrizes e pr</w:t>
      </w:r>
      <w:r w:rsidRPr="00D168F0">
        <w:rPr>
          <w:rFonts w:ascii="Palatino Linotype" w:hAnsi="Palatino Linotype"/>
          <w:sz w:val="24"/>
          <w:szCs w:val="24"/>
        </w:rPr>
        <w:t>o</w:t>
      </w:r>
      <w:r w:rsidRPr="00D168F0">
        <w:rPr>
          <w:rFonts w:ascii="Palatino Linotype" w:hAnsi="Palatino Linotype"/>
          <w:sz w:val="24"/>
          <w:szCs w:val="24"/>
        </w:rPr>
        <w:t>cedimentos para o gerenciamento do material a ser dragado em águas nacionais. Já a Res</w:t>
      </w:r>
      <w:r w:rsidRPr="00D168F0">
        <w:rPr>
          <w:rFonts w:ascii="Palatino Linotype" w:hAnsi="Palatino Linotype"/>
          <w:sz w:val="24"/>
          <w:szCs w:val="24"/>
        </w:rPr>
        <w:t>o</w:t>
      </w:r>
      <w:r w:rsidRPr="00D168F0">
        <w:rPr>
          <w:rFonts w:ascii="Palatino Linotype" w:hAnsi="Palatino Linotype"/>
          <w:sz w:val="24"/>
          <w:szCs w:val="24"/>
        </w:rPr>
        <w:t>lução CONAMA n° 420/2009 traz valores orientadores de qualidade do solo quanto à presença de substâncias químicas para auxiliar no processo de gerenci</w:t>
      </w:r>
      <w:r w:rsidRPr="00D168F0">
        <w:rPr>
          <w:rFonts w:ascii="Palatino Linotype" w:hAnsi="Palatino Linotype"/>
          <w:sz w:val="24"/>
          <w:szCs w:val="24"/>
        </w:rPr>
        <w:t>a</w:t>
      </w:r>
      <w:r w:rsidRPr="00D168F0">
        <w:rPr>
          <w:rFonts w:ascii="Palatino Linotype" w:hAnsi="Palatino Linotype"/>
          <w:sz w:val="24"/>
          <w:szCs w:val="24"/>
        </w:rPr>
        <w:t>mento. Esses disposit</w:t>
      </w:r>
      <w:r w:rsidRPr="00D168F0">
        <w:rPr>
          <w:rFonts w:ascii="Palatino Linotype" w:hAnsi="Palatino Linotype"/>
          <w:sz w:val="24"/>
          <w:szCs w:val="24"/>
        </w:rPr>
        <w:t>i</w:t>
      </w:r>
      <w:r w:rsidRPr="00D168F0">
        <w:rPr>
          <w:rFonts w:ascii="Palatino Linotype" w:hAnsi="Palatino Linotype"/>
          <w:sz w:val="24"/>
          <w:szCs w:val="24"/>
        </w:rPr>
        <w:t xml:space="preserve">vos normativos em conjunto trazem uma série de elementos que devem ser </w:t>
      </w:r>
      <w:r w:rsidRPr="00D168F0">
        <w:rPr>
          <w:rFonts w:ascii="Palatino Linotype" w:hAnsi="Palatino Linotype"/>
          <w:sz w:val="24"/>
          <w:szCs w:val="24"/>
        </w:rPr>
        <w:t>a</w:t>
      </w:r>
      <w:r w:rsidRPr="00D168F0">
        <w:rPr>
          <w:rFonts w:ascii="Palatino Linotype" w:hAnsi="Palatino Linotype"/>
          <w:sz w:val="24"/>
          <w:szCs w:val="24"/>
        </w:rPr>
        <w:t>tendidos nos procedimentos de dragagem de material dos corpos aquáticos.</w:t>
      </w:r>
    </w:p>
    <w:p w:rsidR="00F85512" w:rsidRPr="00D168F0" w:rsidRDefault="00F85512" w:rsidP="007B68C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85172" w:rsidRPr="00D168F0" w:rsidRDefault="00F85172" w:rsidP="00C022E8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D168F0">
        <w:rPr>
          <w:rFonts w:ascii="Palatino Linotype" w:hAnsi="Palatino Linotype"/>
          <w:b/>
          <w:sz w:val="24"/>
          <w:szCs w:val="24"/>
        </w:rPr>
        <w:t>CONCLUSÃO</w:t>
      </w:r>
    </w:p>
    <w:p w:rsidR="004C2053" w:rsidRPr="00D168F0" w:rsidRDefault="004C2053" w:rsidP="004C2053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</w:p>
    <w:p w:rsidR="004C2053" w:rsidRPr="00D168F0" w:rsidRDefault="004C2053" w:rsidP="004C205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 xml:space="preserve">Diante do exposto, respeitada a natureza opinativa do parecer jurídico, que não vincula, por si só, a manifestação das comissões permanentes e a convicção dos membros desta Câmara, e assegurada a soberania do Plenário, a Procuradoria opina pela ausência de inconstitucionalidade manifesta do Projeto de Lei </w:t>
      </w:r>
      <w:r w:rsidR="00F325B7" w:rsidRPr="00D168F0">
        <w:rPr>
          <w:rFonts w:ascii="Palatino Linotype" w:hAnsi="Palatino Linotype"/>
          <w:sz w:val="24"/>
          <w:szCs w:val="24"/>
        </w:rPr>
        <w:t>do Legisl</w:t>
      </w:r>
      <w:r w:rsidR="00F325B7" w:rsidRPr="00D168F0">
        <w:rPr>
          <w:rFonts w:ascii="Palatino Linotype" w:hAnsi="Palatino Linotype"/>
          <w:sz w:val="24"/>
          <w:szCs w:val="24"/>
        </w:rPr>
        <w:t>a</w:t>
      </w:r>
      <w:r w:rsidR="00F325B7" w:rsidRPr="00D168F0">
        <w:rPr>
          <w:rFonts w:ascii="Palatino Linotype" w:hAnsi="Palatino Linotype"/>
          <w:sz w:val="24"/>
          <w:szCs w:val="24"/>
        </w:rPr>
        <w:t xml:space="preserve">tivo </w:t>
      </w:r>
      <w:r w:rsidRPr="00D168F0">
        <w:rPr>
          <w:rFonts w:ascii="Palatino Linotype" w:hAnsi="Palatino Linotype"/>
          <w:sz w:val="24"/>
          <w:szCs w:val="24"/>
        </w:rPr>
        <w:t xml:space="preserve">nº </w:t>
      </w:r>
      <w:r w:rsidR="00AB397E" w:rsidRPr="00D168F0">
        <w:rPr>
          <w:rFonts w:ascii="Palatino Linotype" w:hAnsi="Palatino Linotype"/>
          <w:sz w:val="24"/>
          <w:szCs w:val="24"/>
        </w:rPr>
        <w:t>063</w:t>
      </w:r>
      <w:r w:rsidRPr="00D168F0">
        <w:rPr>
          <w:rFonts w:ascii="Palatino Linotype" w:hAnsi="Palatino Linotype"/>
          <w:sz w:val="24"/>
          <w:szCs w:val="24"/>
        </w:rPr>
        <w:t>/202</w:t>
      </w:r>
      <w:r w:rsidR="00AB397E" w:rsidRPr="00D168F0">
        <w:rPr>
          <w:rFonts w:ascii="Palatino Linotype" w:hAnsi="Palatino Linotype"/>
          <w:sz w:val="24"/>
          <w:szCs w:val="24"/>
        </w:rPr>
        <w:t>4</w:t>
      </w:r>
      <w:r w:rsidR="00D44F0D" w:rsidRPr="00D168F0">
        <w:rPr>
          <w:rFonts w:ascii="Palatino Linotype" w:hAnsi="Palatino Linotype"/>
          <w:sz w:val="24"/>
          <w:szCs w:val="24"/>
        </w:rPr>
        <w:t xml:space="preserve"> e pela sua r</w:t>
      </w:r>
      <w:r w:rsidR="00D44F0D" w:rsidRPr="00D168F0">
        <w:rPr>
          <w:rFonts w:ascii="Palatino Linotype" w:hAnsi="Palatino Linotype"/>
          <w:sz w:val="24"/>
          <w:szCs w:val="24"/>
        </w:rPr>
        <w:t>e</w:t>
      </w:r>
      <w:r w:rsidR="00D44F0D" w:rsidRPr="00D168F0">
        <w:rPr>
          <w:rFonts w:ascii="Palatino Linotype" w:hAnsi="Palatino Linotype"/>
          <w:sz w:val="24"/>
          <w:szCs w:val="24"/>
        </w:rPr>
        <w:t>gular tramitação</w:t>
      </w:r>
      <w:r w:rsidR="00AB397E" w:rsidRPr="00D168F0">
        <w:rPr>
          <w:rFonts w:ascii="Palatino Linotype" w:hAnsi="Palatino Linotype"/>
          <w:sz w:val="24"/>
          <w:szCs w:val="24"/>
        </w:rPr>
        <w:t>.</w:t>
      </w:r>
    </w:p>
    <w:p w:rsidR="00690BD6" w:rsidRPr="00D168F0" w:rsidRDefault="00690BD6" w:rsidP="004C205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425B6B" w:rsidRPr="00D168F0" w:rsidRDefault="00425B6B" w:rsidP="005330E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É o parecer</w:t>
      </w:r>
      <w:r w:rsidR="004C2053" w:rsidRPr="00D168F0">
        <w:rPr>
          <w:rFonts w:ascii="Palatino Linotype" w:hAnsi="Palatino Linotype"/>
          <w:sz w:val="24"/>
          <w:szCs w:val="24"/>
        </w:rPr>
        <w:t>.</w:t>
      </w:r>
    </w:p>
    <w:p w:rsidR="00D44F0D" w:rsidRPr="00D168F0" w:rsidRDefault="00D44F0D" w:rsidP="005330E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425B6B" w:rsidRPr="00D168F0" w:rsidRDefault="00FD4C48" w:rsidP="00425B6B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 xml:space="preserve">Guaíba, </w:t>
      </w:r>
      <w:r w:rsidR="001A492E" w:rsidRPr="00D168F0">
        <w:rPr>
          <w:rFonts w:ascii="Palatino Linotype" w:hAnsi="Palatino Linotype"/>
          <w:sz w:val="24"/>
          <w:szCs w:val="24"/>
        </w:rPr>
        <w:t>19</w:t>
      </w:r>
      <w:r w:rsidR="00D44F0D" w:rsidRPr="00D168F0">
        <w:rPr>
          <w:rFonts w:ascii="Palatino Linotype" w:hAnsi="Palatino Linotype"/>
          <w:sz w:val="24"/>
          <w:szCs w:val="24"/>
        </w:rPr>
        <w:t xml:space="preserve"> de </w:t>
      </w:r>
      <w:r w:rsidR="001A492E" w:rsidRPr="00D168F0">
        <w:rPr>
          <w:rFonts w:ascii="Palatino Linotype" w:hAnsi="Palatino Linotype"/>
          <w:sz w:val="24"/>
          <w:szCs w:val="24"/>
        </w:rPr>
        <w:t>junh</w:t>
      </w:r>
      <w:r w:rsidR="00D44F0D" w:rsidRPr="00D168F0">
        <w:rPr>
          <w:rFonts w:ascii="Palatino Linotype" w:hAnsi="Palatino Linotype"/>
          <w:sz w:val="24"/>
          <w:szCs w:val="24"/>
        </w:rPr>
        <w:t>o</w:t>
      </w:r>
      <w:r w:rsidR="00F94A77" w:rsidRPr="00D168F0">
        <w:rPr>
          <w:rFonts w:ascii="Palatino Linotype" w:hAnsi="Palatino Linotype"/>
          <w:sz w:val="24"/>
          <w:szCs w:val="24"/>
        </w:rPr>
        <w:t xml:space="preserve"> de 202</w:t>
      </w:r>
      <w:r w:rsidR="001A492E" w:rsidRPr="00D168F0">
        <w:rPr>
          <w:rFonts w:ascii="Palatino Linotype" w:hAnsi="Palatino Linotype"/>
          <w:sz w:val="24"/>
          <w:szCs w:val="24"/>
        </w:rPr>
        <w:t>4</w:t>
      </w:r>
      <w:r w:rsidR="00F94A77" w:rsidRPr="00D168F0">
        <w:rPr>
          <w:rFonts w:ascii="Palatino Linotype" w:hAnsi="Palatino Linotype"/>
          <w:sz w:val="24"/>
          <w:szCs w:val="24"/>
        </w:rPr>
        <w:t>.</w:t>
      </w:r>
    </w:p>
    <w:p w:rsidR="005330E3" w:rsidRPr="00D168F0" w:rsidRDefault="005330E3" w:rsidP="00443D25">
      <w:pPr>
        <w:spacing w:after="0" w:line="360" w:lineRule="auto"/>
        <w:rPr>
          <w:rFonts w:ascii="Palatino Linotype" w:hAnsi="Palatino Linotype"/>
          <w:sz w:val="24"/>
          <w:szCs w:val="24"/>
        </w:rPr>
      </w:pPr>
    </w:p>
    <w:p w:rsidR="001A492E" w:rsidRPr="00D168F0" w:rsidRDefault="001A492E" w:rsidP="00443D25">
      <w:pPr>
        <w:spacing w:after="0" w:line="360" w:lineRule="auto"/>
        <w:rPr>
          <w:rFonts w:ascii="Palatino Linotype" w:hAnsi="Palatino Linotype"/>
          <w:sz w:val="24"/>
          <w:szCs w:val="24"/>
        </w:rPr>
      </w:pPr>
    </w:p>
    <w:p w:rsidR="00425B6B" w:rsidRPr="00D168F0" w:rsidRDefault="00F325B7" w:rsidP="00425B6B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D168F0">
        <w:rPr>
          <w:rFonts w:ascii="Palatino Linotype" w:hAnsi="Palatino Linotype"/>
          <w:b/>
          <w:sz w:val="24"/>
          <w:szCs w:val="24"/>
        </w:rPr>
        <w:lastRenderedPageBreak/>
        <w:t>FERNANDO HENRIQUE ESCOBAR BINS</w:t>
      </w:r>
    </w:p>
    <w:p w:rsidR="00425B6B" w:rsidRPr="00D168F0" w:rsidRDefault="00425B6B" w:rsidP="00425B6B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>Procurador</w:t>
      </w:r>
      <w:r w:rsidR="00F325B7" w:rsidRPr="00D168F0">
        <w:rPr>
          <w:rFonts w:ascii="Palatino Linotype" w:hAnsi="Palatino Linotype"/>
          <w:sz w:val="24"/>
          <w:szCs w:val="24"/>
        </w:rPr>
        <w:t>-Geral</w:t>
      </w:r>
    </w:p>
    <w:p w:rsidR="0027343E" w:rsidRPr="00D168F0" w:rsidRDefault="00425B6B" w:rsidP="00425B6B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D168F0">
        <w:rPr>
          <w:rFonts w:ascii="Palatino Linotype" w:hAnsi="Palatino Linotype"/>
          <w:sz w:val="24"/>
          <w:szCs w:val="24"/>
        </w:rPr>
        <w:t xml:space="preserve">OAB/RS nº </w:t>
      </w:r>
      <w:r w:rsidR="004C2053" w:rsidRPr="00D168F0">
        <w:rPr>
          <w:rFonts w:ascii="Palatino Linotype" w:hAnsi="Palatino Linotype"/>
          <w:sz w:val="24"/>
          <w:szCs w:val="24"/>
        </w:rPr>
        <w:t>10</w:t>
      </w:r>
      <w:r w:rsidR="00F325B7" w:rsidRPr="00D168F0">
        <w:rPr>
          <w:rFonts w:ascii="Palatino Linotype" w:hAnsi="Palatino Linotype"/>
          <w:sz w:val="24"/>
          <w:szCs w:val="24"/>
        </w:rPr>
        <w:t>7</w:t>
      </w:r>
      <w:r w:rsidR="004C2053" w:rsidRPr="00D168F0">
        <w:rPr>
          <w:rFonts w:ascii="Palatino Linotype" w:hAnsi="Palatino Linotype"/>
          <w:sz w:val="24"/>
          <w:szCs w:val="24"/>
        </w:rPr>
        <w:t>.1</w:t>
      </w:r>
      <w:r w:rsidR="00F325B7" w:rsidRPr="00D168F0">
        <w:rPr>
          <w:rFonts w:ascii="Palatino Linotype" w:hAnsi="Palatino Linotype"/>
          <w:sz w:val="24"/>
          <w:szCs w:val="24"/>
        </w:rPr>
        <w:t>36</w:t>
      </w:r>
    </w:p>
    <w:sectPr w:rsidR="0027343E" w:rsidRPr="00D168F0" w:rsidSect="00CA75BC">
      <w:headerReference w:type="default" r:id="rId8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54E9" w:rsidRDefault="00FE54E9" w:rsidP="00B365A3">
      <w:pPr>
        <w:spacing w:after="0" w:line="240" w:lineRule="auto"/>
      </w:pPr>
      <w:r>
        <w:separator/>
      </w:r>
    </w:p>
  </w:endnote>
  <w:endnote w:type="continuationSeparator" w:id="1">
    <w:p w:rsidR="00FE54E9" w:rsidRDefault="00FE54E9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54E9" w:rsidRDefault="00FE54E9" w:rsidP="00B365A3">
      <w:pPr>
        <w:spacing w:after="0" w:line="240" w:lineRule="auto"/>
      </w:pPr>
      <w:r>
        <w:separator/>
      </w:r>
    </w:p>
  </w:footnote>
  <w:footnote w:type="continuationSeparator" w:id="1">
    <w:p w:rsidR="00FE54E9" w:rsidRDefault="00FE54E9" w:rsidP="00B365A3">
      <w:pPr>
        <w:spacing w:after="0" w:line="240" w:lineRule="auto"/>
      </w:pPr>
      <w:r>
        <w:continuationSeparator/>
      </w:r>
    </w:p>
  </w:footnote>
  <w:footnote w:id="2">
    <w:p w:rsidR="005E6A57" w:rsidRPr="005E6A57" w:rsidRDefault="005E6A57" w:rsidP="005E6A57">
      <w:pPr>
        <w:pStyle w:val="Textodenotaderodap"/>
        <w:jc w:val="both"/>
        <w:rPr>
          <w:sz w:val="16"/>
        </w:rPr>
      </w:pPr>
      <w:r w:rsidRPr="005E6A57">
        <w:rPr>
          <w:rStyle w:val="Refdenotaderodap"/>
          <w:sz w:val="16"/>
        </w:rPr>
        <w:footnoteRef/>
      </w:r>
      <w:r w:rsidRPr="005E6A57">
        <w:rPr>
          <w:sz w:val="16"/>
        </w:rPr>
        <w:t xml:space="preserve"> </w:t>
      </w:r>
      <w:r w:rsidRPr="005E6A57">
        <w:rPr>
          <w:szCs w:val="24"/>
        </w:rPr>
        <w:t>Ambiente &amp; Sociedade n São Paulo. Vol. 22, 2019 n Artigo Original n 2019;22:e00571  Desassore</w:t>
      </w:r>
      <w:r w:rsidRPr="005E6A57">
        <w:rPr>
          <w:szCs w:val="24"/>
        </w:rPr>
        <w:t>a</w:t>
      </w:r>
      <w:r w:rsidRPr="005E6A57">
        <w:rPr>
          <w:szCs w:val="24"/>
        </w:rPr>
        <w:t>mento de rios, pág. 3 de 20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434" w:rsidRDefault="00BD6434" w:rsidP="00BD6434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935509" cy="723569"/>
          <wp:effectExtent l="19050" t="0" r="7841" b="0"/>
          <wp:docPr id="2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44711" cy="72526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80C20" w:rsidRDefault="00BD6434" w:rsidP="00BD6434">
    <w:pPr>
      <w:pStyle w:val="Cabealho"/>
      <w:jc w:val="center"/>
      <w:rPr>
        <w:noProof/>
        <w:lang w:eastAsia="pt-BR"/>
      </w:rPr>
    </w:pPr>
    <w:r w:rsidRPr="0080660F">
      <w:rPr>
        <w:rFonts w:ascii="Century Schoolbook" w:hAnsi="Century Schoolbook"/>
        <w:b/>
        <w:sz w:val="18"/>
      </w:rPr>
      <w:t>PROCURADORIA JURÍDICA</w:t>
    </w:r>
    <w:r>
      <w:rPr>
        <w:noProof/>
        <w:lang w:eastAsia="pt-BR"/>
      </w:rPr>
      <w:t xml:space="preserve"> </w:t>
    </w:r>
  </w:p>
  <w:p w:rsidR="00BD6434" w:rsidRDefault="00BD6434" w:rsidP="00BD6434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15802"/>
    <w:rsid w:val="000171ED"/>
    <w:rsid w:val="00032713"/>
    <w:rsid w:val="00036BC1"/>
    <w:rsid w:val="00052488"/>
    <w:rsid w:val="00062023"/>
    <w:rsid w:val="0006457C"/>
    <w:rsid w:val="00065607"/>
    <w:rsid w:val="00067FE0"/>
    <w:rsid w:val="00070070"/>
    <w:rsid w:val="000714D3"/>
    <w:rsid w:val="0007727E"/>
    <w:rsid w:val="00085288"/>
    <w:rsid w:val="000C267D"/>
    <w:rsid w:val="000C5A0A"/>
    <w:rsid w:val="000C62EC"/>
    <w:rsid w:val="000D7F9F"/>
    <w:rsid w:val="00102E2C"/>
    <w:rsid w:val="001069A0"/>
    <w:rsid w:val="00110DB4"/>
    <w:rsid w:val="00112C05"/>
    <w:rsid w:val="0011301F"/>
    <w:rsid w:val="001144C0"/>
    <w:rsid w:val="001212DB"/>
    <w:rsid w:val="0014049A"/>
    <w:rsid w:val="001404D2"/>
    <w:rsid w:val="00144D63"/>
    <w:rsid w:val="00154278"/>
    <w:rsid w:val="00165137"/>
    <w:rsid w:val="00166B8F"/>
    <w:rsid w:val="00187BCD"/>
    <w:rsid w:val="00190A34"/>
    <w:rsid w:val="00194695"/>
    <w:rsid w:val="001A0998"/>
    <w:rsid w:val="001A492E"/>
    <w:rsid w:val="001B497A"/>
    <w:rsid w:val="001B661A"/>
    <w:rsid w:val="001B6F60"/>
    <w:rsid w:val="001C323B"/>
    <w:rsid w:val="001D0CC7"/>
    <w:rsid w:val="001D262F"/>
    <w:rsid w:val="001D6B37"/>
    <w:rsid w:val="001F3942"/>
    <w:rsid w:val="001F5E63"/>
    <w:rsid w:val="001F5FE9"/>
    <w:rsid w:val="001F61AA"/>
    <w:rsid w:val="001F6BDB"/>
    <w:rsid w:val="002003E6"/>
    <w:rsid w:val="0022794A"/>
    <w:rsid w:val="00240376"/>
    <w:rsid w:val="0024331F"/>
    <w:rsid w:val="0024338B"/>
    <w:rsid w:val="0024535E"/>
    <w:rsid w:val="00260383"/>
    <w:rsid w:val="00262DDA"/>
    <w:rsid w:val="00267002"/>
    <w:rsid w:val="0027343E"/>
    <w:rsid w:val="002746EF"/>
    <w:rsid w:val="0027621D"/>
    <w:rsid w:val="0028631D"/>
    <w:rsid w:val="00291682"/>
    <w:rsid w:val="00297F6C"/>
    <w:rsid w:val="002A0752"/>
    <w:rsid w:val="002C003F"/>
    <w:rsid w:val="002C06A0"/>
    <w:rsid w:val="002C5EC6"/>
    <w:rsid w:val="002E06F3"/>
    <w:rsid w:val="002E2E1B"/>
    <w:rsid w:val="002E6A65"/>
    <w:rsid w:val="002F03F2"/>
    <w:rsid w:val="002F1B3A"/>
    <w:rsid w:val="002F2A0F"/>
    <w:rsid w:val="003147D1"/>
    <w:rsid w:val="00315BF1"/>
    <w:rsid w:val="00316FAB"/>
    <w:rsid w:val="00330B7C"/>
    <w:rsid w:val="003339E8"/>
    <w:rsid w:val="003355AE"/>
    <w:rsid w:val="003416F4"/>
    <w:rsid w:val="003441C3"/>
    <w:rsid w:val="003478DC"/>
    <w:rsid w:val="003617F4"/>
    <w:rsid w:val="003660E8"/>
    <w:rsid w:val="0037140C"/>
    <w:rsid w:val="00371666"/>
    <w:rsid w:val="00371A4F"/>
    <w:rsid w:val="003817AC"/>
    <w:rsid w:val="00387D24"/>
    <w:rsid w:val="003936B4"/>
    <w:rsid w:val="003A288D"/>
    <w:rsid w:val="003B5259"/>
    <w:rsid w:val="003B59C2"/>
    <w:rsid w:val="003B6193"/>
    <w:rsid w:val="003C2C5D"/>
    <w:rsid w:val="003C5B9C"/>
    <w:rsid w:val="003C5C27"/>
    <w:rsid w:val="003C6F4A"/>
    <w:rsid w:val="003D7C10"/>
    <w:rsid w:val="003F4FD7"/>
    <w:rsid w:val="00405170"/>
    <w:rsid w:val="004053EE"/>
    <w:rsid w:val="004058B8"/>
    <w:rsid w:val="0041616C"/>
    <w:rsid w:val="00425B6B"/>
    <w:rsid w:val="00431FB9"/>
    <w:rsid w:val="00435C60"/>
    <w:rsid w:val="00441E74"/>
    <w:rsid w:val="00443D25"/>
    <w:rsid w:val="00447D2C"/>
    <w:rsid w:val="0045447A"/>
    <w:rsid w:val="00455F15"/>
    <w:rsid w:val="00456ABE"/>
    <w:rsid w:val="00461045"/>
    <w:rsid w:val="00464CAB"/>
    <w:rsid w:val="00475579"/>
    <w:rsid w:val="00480E52"/>
    <w:rsid w:val="00493C24"/>
    <w:rsid w:val="004942A9"/>
    <w:rsid w:val="004A739D"/>
    <w:rsid w:val="004B1648"/>
    <w:rsid w:val="004B334C"/>
    <w:rsid w:val="004C2053"/>
    <w:rsid w:val="004C31B1"/>
    <w:rsid w:val="004E4F0B"/>
    <w:rsid w:val="004F0D6E"/>
    <w:rsid w:val="004F0F2C"/>
    <w:rsid w:val="0050418F"/>
    <w:rsid w:val="00513EA5"/>
    <w:rsid w:val="005144C9"/>
    <w:rsid w:val="00523DB8"/>
    <w:rsid w:val="0052703A"/>
    <w:rsid w:val="00530641"/>
    <w:rsid w:val="00531001"/>
    <w:rsid w:val="005330E3"/>
    <w:rsid w:val="005449BA"/>
    <w:rsid w:val="0056044A"/>
    <w:rsid w:val="00580B21"/>
    <w:rsid w:val="00580C20"/>
    <w:rsid w:val="00590143"/>
    <w:rsid w:val="00595801"/>
    <w:rsid w:val="00597D62"/>
    <w:rsid w:val="005A2E7F"/>
    <w:rsid w:val="005C0121"/>
    <w:rsid w:val="005C63EA"/>
    <w:rsid w:val="005D373A"/>
    <w:rsid w:val="005D4839"/>
    <w:rsid w:val="005E6A57"/>
    <w:rsid w:val="00620F14"/>
    <w:rsid w:val="006210BE"/>
    <w:rsid w:val="006240E3"/>
    <w:rsid w:val="006366CE"/>
    <w:rsid w:val="006416DA"/>
    <w:rsid w:val="0065091C"/>
    <w:rsid w:val="00650D2A"/>
    <w:rsid w:val="00661613"/>
    <w:rsid w:val="00673634"/>
    <w:rsid w:val="00676DA7"/>
    <w:rsid w:val="00683721"/>
    <w:rsid w:val="00690BD6"/>
    <w:rsid w:val="006B0EF8"/>
    <w:rsid w:val="006B5DDD"/>
    <w:rsid w:val="006C0135"/>
    <w:rsid w:val="006C4BD3"/>
    <w:rsid w:val="006C7A11"/>
    <w:rsid w:val="006D1FF7"/>
    <w:rsid w:val="006E6EC4"/>
    <w:rsid w:val="00702CD7"/>
    <w:rsid w:val="0071146C"/>
    <w:rsid w:val="00712124"/>
    <w:rsid w:val="0072082B"/>
    <w:rsid w:val="0074133D"/>
    <w:rsid w:val="00743322"/>
    <w:rsid w:val="00745297"/>
    <w:rsid w:val="0074529D"/>
    <w:rsid w:val="007520A0"/>
    <w:rsid w:val="007523FF"/>
    <w:rsid w:val="00752F5F"/>
    <w:rsid w:val="00754F21"/>
    <w:rsid w:val="00757CD8"/>
    <w:rsid w:val="0077504B"/>
    <w:rsid w:val="007854E6"/>
    <w:rsid w:val="007928C0"/>
    <w:rsid w:val="00795D33"/>
    <w:rsid w:val="007A5356"/>
    <w:rsid w:val="007B68CD"/>
    <w:rsid w:val="007C471C"/>
    <w:rsid w:val="007C52B1"/>
    <w:rsid w:val="007E0A1E"/>
    <w:rsid w:val="00801E67"/>
    <w:rsid w:val="008035D2"/>
    <w:rsid w:val="008104C6"/>
    <w:rsid w:val="00811016"/>
    <w:rsid w:val="008138B2"/>
    <w:rsid w:val="00814386"/>
    <w:rsid w:val="008165C9"/>
    <w:rsid w:val="00820BFB"/>
    <w:rsid w:val="00824BA1"/>
    <w:rsid w:val="00831E33"/>
    <w:rsid w:val="008353E8"/>
    <w:rsid w:val="0083692D"/>
    <w:rsid w:val="008426D4"/>
    <w:rsid w:val="0084390B"/>
    <w:rsid w:val="00847C81"/>
    <w:rsid w:val="00862627"/>
    <w:rsid w:val="00867DB8"/>
    <w:rsid w:val="0087030F"/>
    <w:rsid w:val="00876995"/>
    <w:rsid w:val="008A02A8"/>
    <w:rsid w:val="008A32A8"/>
    <w:rsid w:val="008E027D"/>
    <w:rsid w:val="008E16F6"/>
    <w:rsid w:val="008E2471"/>
    <w:rsid w:val="008F3A61"/>
    <w:rsid w:val="00905B60"/>
    <w:rsid w:val="009151E8"/>
    <w:rsid w:val="009401BE"/>
    <w:rsid w:val="00950CA5"/>
    <w:rsid w:val="00951E24"/>
    <w:rsid w:val="00954AB3"/>
    <w:rsid w:val="0096339F"/>
    <w:rsid w:val="00964CB2"/>
    <w:rsid w:val="00965DF3"/>
    <w:rsid w:val="009677B1"/>
    <w:rsid w:val="00970AA6"/>
    <w:rsid w:val="00975A45"/>
    <w:rsid w:val="009762CB"/>
    <w:rsid w:val="00983E6A"/>
    <w:rsid w:val="00984974"/>
    <w:rsid w:val="009A1232"/>
    <w:rsid w:val="009B08D5"/>
    <w:rsid w:val="009B37B2"/>
    <w:rsid w:val="009B7D3B"/>
    <w:rsid w:val="009C56E3"/>
    <w:rsid w:val="009C70CE"/>
    <w:rsid w:val="009D500A"/>
    <w:rsid w:val="009E03A3"/>
    <w:rsid w:val="009F2034"/>
    <w:rsid w:val="009F4D86"/>
    <w:rsid w:val="009F646E"/>
    <w:rsid w:val="009F67F0"/>
    <w:rsid w:val="00A03095"/>
    <w:rsid w:val="00A0786F"/>
    <w:rsid w:val="00A10C21"/>
    <w:rsid w:val="00A13244"/>
    <w:rsid w:val="00A13BED"/>
    <w:rsid w:val="00A215EC"/>
    <w:rsid w:val="00A25FA3"/>
    <w:rsid w:val="00A27B65"/>
    <w:rsid w:val="00A35C02"/>
    <w:rsid w:val="00A37FCC"/>
    <w:rsid w:val="00A472DB"/>
    <w:rsid w:val="00A524F6"/>
    <w:rsid w:val="00A57F8E"/>
    <w:rsid w:val="00A638A8"/>
    <w:rsid w:val="00A7308D"/>
    <w:rsid w:val="00A77DF1"/>
    <w:rsid w:val="00A808BC"/>
    <w:rsid w:val="00A83EC7"/>
    <w:rsid w:val="00A90AF3"/>
    <w:rsid w:val="00A91A8F"/>
    <w:rsid w:val="00AA76AF"/>
    <w:rsid w:val="00AB397E"/>
    <w:rsid w:val="00AB4B5D"/>
    <w:rsid w:val="00AB60D0"/>
    <w:rsid w:val="00AE7283"/>
    <w:rsid w:val="00AF6429"/>
    <w:rsid w:val="00AF6E8B"/>
    <w:rsid w:val="00B02B67"/>
    <w:rsid w:val="00B054AF"/>
    <w:rsid w:val="00B11661"/>
    <w:rsid w:val="00B17E41"/>
    <w:rsid w:val="00B33916"/>
    <w:rsid w:val="00B365A3"/>
    <w:rsid w:val="00B46318"/>
    <w:rsid w:val="00B61C96"/>
    <w:rsid w:val="00B66499"/>
    <w:rsid w:val="00B66BAB"/>
    <w:rsid w:val="00B72BB2"/>
    <w:rsid w:val="00B74437"/>
    <w:rsid w:val="00B76C2B"/>
    <w:rsid w:val="00B91697"/>
    <w:rsid w:val="00B95E94"/>
    <w:rsid w:val="00BA3324"/>
    <w:rsid w:val="00BB797F"/>
    <w:rsid w:val="00BC2C70"/>
    <w:rsid w:val="00BD6434"/>
    <w:rsid w:val="00BE39FE"/>
    <w:rsid w:val="00BF0280"/>
    <w:rsid w:val="00C000CF"/>
    <w:rsid w:val="00C022E8"/>
    <w:rsid w:val="00C025C1"/>
    <w:rsid w:val="00C03EB4"/>
    <w:rsid w:val="00C07345"/>
    <w:rsid w:val="00C12338"/>
    <w:rsid w:val="00C23553"/>
    <w:rsid w:val="00C3042A"/>
    <w:rsid w:val="00C3742D"/>
    <w:rsid w:val="00C46CDC"/>
    <w:rsid w:val="00C54DEC"/>
    <w:rsid w:val="00C60B4B"/>
    <w:rsid w:val="00C6193A"/>
    <w:rsid w:val="00C71CB4"/>
    <w:rsid w:val="00C720CF"/>
    <w:rsid w:val="00C72C1D"/>
    <w:rsid w:val="00C7445E"/>
    <w:rsid w:val="00C81BCF"/>
    <w:rsid w:val="00C8641E"/>
    <w:rsid w:val="00C92D20"/>
    <w:rsid w:val="00C93CEC"/>
    <w:rsid w:val="00CA219B"/>
    <w:rsid w:val="00CA4321"/>
    <w:rsid w:val="00CA44E1"/>
    <w:rsid w:val="00CA5222"/>
    <w:rsid w:val="00CA75BC"/>
    <w:rsid w:val="00CB04C4"/>
    <w:rsid w:val="00CB3DCF"/>
    <w:rsid w:val="00CB7257"/>
    <w:rsid w:val="00CC0B9C"/>
    <w:rsid w:val="00CC5748"/>
    <w:rsid w:val="00CC7C29"/>
    <w:rsid w:val="00CD0E47"/>
    <w:rsid w:val="00CE2F37"/>
    <w:rsid w:val="00CE435B"/>
    <w:rsid w:val="00CF0099"/>
    <w:rsid w:val="00CF039D"/>
    <w:rsid w:val="00CF242F"/>
    <w:rsid w:val="00CF2F22"/>
    <w:rsid w:val="00CF42D4"/>
    <w:rsid w:val="00CF66E6"/>
    <w:rsid w:val="00D12444"/>
    <w:rsid w:val="00D14431"/>
    <w:rsid w:val="00D168F0"/>
    <w:rsid w:val="00D24B97"/>
    <w:rsid w:val="00D40656"/>
    <w:rsid w:val="00D410C5"/>
    <w:rsid w:val="00D4179D"/>
    <w:rsid w:val="00D43D8F"/>
    <w:rsid w:val="00D44F0D"/>
    <w:rsid w:val="00D46C62"/>
    <w:rsid w:val="00D6518A"/>
    <w:rsid w:val="00D76E8F"/>
    <w:rsid w:val="00D84EE7"/>
    <w:rsid w:val="00D90ED5"/>
    <w:rsid w:val="00D9272A"/>
    <w:rsid w:val="00DA2672"/>
    <w:rsid w:val="00DA604F"/>
    <w:rsid w:val="00DA7A73"/>
    <w:rsid w:val="00DB780A"/>
    <w:rsid w:val="00DC081E"/>
    <w:rsid w:val="00DC0FFE"/>
    <w:rsid w:val="00DC29CD"/>
    <w:rsid w:val="00DD2579"/>
    <w:rsid w:val="00DD3F5B"/>
    <w:rsid w:val="00DD5725"/>
    <w:rsid w:val="00E03304"/>
    <w:rsid w:val="00E03F5D"/>
    <w:rsid w:val="00E268FE"/>
    <w:rsid w:val="00E37DCF"/>
    <w:rsid w:val="00E37EE7"/>
    <w:rsid w:val="00E501C1"/>
    <w:rsid w:val="00E5368A"/>
    <w:rsid w:val="00E60F5C"/>
    <w:rsid w:val="00E617D5"/>
    <w:rsid w:val="00E82C4A"/>
    <w:rsid w:val="00E87BDB"/>
    <w:rsid w:val="00E955D5"/>
    <w:rsid w:val="00E9563B"/>
    <w:rsid w:val="00E967E0"/>
    <w:rsid w:val="00EA37F8"/>
    <w:rsid w:val="00EA50A4"/>
    <w:rsid w:val="00EC2ABA"/>
    <w:rsid w:val="00EE4687"/>
    <w:rsid w:val="00F00675"/>
    <w:rsid w:val="00F00CA8"/>
    <w:rsid w:val="00F13CBA"/>
    <w:rsid w:val="00F17AE7"/>
    <w:rsid w:val="00F17BF3"/>
    <w:rsid w:val="00F325B7"/>
    <w:rsid w:val="00F41ADA"/>
    <w:rsid w:val="00F46472"/>
    <w:rsid w:val="00F473F2"/>
    <w:rsid w:val="00F520DB"/>
    <w:rsid w:val="00F564CA"/>
    <w:rsid w:val="00F56719"/>
    <w:rsid w:val="00F5729A"/>
    <w:rsid w:val="00F6334E"/>
    <w:rsid w:val="00F6465F"/>
    <w:rsid w:val="00F67B24"/>
    <w:rsid w:val="00F844FC"/>
    <w:rsid w:val="00F85172"/>
    <w:rsid w:val="00F85512"/>
    <w:rsid w:val="00F86216"/>
    <w:rsid w:val="00F86C15"/>
    <w:rsid w:val="00F94625"/>
    <w:rsid w:val="00F94699"/>
    <w:rsid w:val="00F94A77"/>
    <w:rsid w:val="00FA2949"/>
    <w:rsid w:val="00FA427A"/>
    <w:rsid w:val="00FA7EDA"/>
    <w:rsid w:val="00FB1678"/>
    <w:rsid w:val="00FB1DF2"/>
    <w:rsid w:val="00FB1F07"/>
    <w:rsid w:val="00FB2FA0"/>
    <w:rsid w:val="00FB33E0"/>
    <w:rsid w:val="00FB4277"/>
    <w:rsid w:val="00FB7F75"/>
    <w:rsid w:val="00FC4FA4"/>
    <w:rsid w:val="00FC555C"/>
    <w:rsid w:val="00FC7BD1"/>
    <w:rsid w:val="00FD4C48"/>
    <w:rsid w:val="00FD6FFF"/>
    <w:rsid w:val="00FE54E9"/>
    <w:rsid w:val="00FF0503"/>
    <w:rsid w:val="00FF0CEB"/>
    <w:rsid w:val="00FF1F37"/>
    <w:rsid w:val="00FF2C37"/>
    <w:rsid w:val="00FF67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  <w:style w:type="character" w:styleId="Forte">
    <w:name w:val="Strong"/>
    <w:basedOn w:val="Fontepargpadro"/>
    <w:uiPriority w:val="22"/>
    <w:qFormat/>
    <w:rsid w:val="009633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525749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0882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3512">
          <w:blockQuote w:val="1"/>
          <w:marLeft w:val="720"/>
          <w:marRight w:val="720"/>
          <w:marTop w:val="1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978070-D98E-4BD8-9D26-29CFFB577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8</Pages>
  <Words>1994</Words>
  <Characters>10771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Admin</cp:lastModifiedBy>
  <cp:revision>351</cp:revision>
  <cp:lastPrinted>2017-09-19T22:05:00Z</cp:lastPrinted>
  <dcterms:created xsi:type="dcterms:W3CDTF">2022-05-27T15:15:00Z</dcterms:created>
  <dcterms:modified xsi:type="dcterms:W3CDTF">2024-06-19T13:57:00Z</dcterms:modified>
</cp:coreProperties>
</file>