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5B428E" w:rsidRDefault="008138B2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5B428E">
        <w:rPr>
          <w:rFonts w:ascii="Palatino Linotype" w:hAnsi="Palatino Linotype"/>
          <w:b/>
          <w:sz w:val="24"/>
          <w:szCs w:val="24"/>
        </w:rPr>
        <w:t>PARECER JURÍDICO</w:t>
      </w:r>
      <w:r w:rsidR="003E392C" w:rsidRPr="005B428E">
        <w:rPr>
          <w:rFonts w:ascii="Palatino Linotype" w:hAnsi="Palatino Linotype"/>
          <w:b/>
          <w:sz w:val="24"/>
          <w:szCs w:val="24"/>
        </w:rPr>
        <w:t xml:space="preserve"> Nº </w:t>
      </w:r>
      <w:r w:rsidR="00D73B3D">
        <w:rPr>
          <w:rFonts w:ascii="Palatino Linotype" w:hAnsi="Palatino Linotype"/>
          <w:b/>
          <w:sz w:val="24"/>
          <w:szCs w:val="24"/>
        </w:rPr>
        <w:t>153</w:t>
      </w:r>
      <w:r w:rsidR="00A82AC7" w:rsidRPr="005B428E">
        <w:rPr>
          <w:rFonts w:ascii="Palatino Linotype" w:hAnsi="Palatino Linotype"/>
          <w:b/>
          <w:sz w:val="24"/>
          <w:szCs w:val="24"/>
        </w:rPr>
        <w:t>/</w:t>
      </w:r>
      <w:r w:rsidR="003E392C" w:rsidRPr="005B428E">
        <w:rPr>
          <w:rFonts w:ascii="Palatino Linotype" w:hAnsi="Palatino Linotype"/>
          <w:b/>
          <w:sz w:val="24"/>
          <w:szCs w:val="24"/>
        </w:rPr>
        <w:t>20</w:t>
      </w:r>
      <w:r w:rsidR="00A82AC7" w:rsidRPr="005B428E">
        <w:rPr>
          <w:rFonts w:ascii="Palatino Linotype" w:hAnsi="Palatino Linotype"/>
          <w:b/>
          <w:sz w:val="24"/>
          <w:szCs w:val="24"/>
        </w:rPr>
        <w:t>2</w:t>
      </w:r>
      <w:r w:rsidR="005B428E" w:rsidRPr="005B428E">
        <w:rPr>
          <w:rFonts w:ascii="Palatino Linotype" w:hAnsi="Palatino Linotype"/>
          <w:b/>
          <w:sz w:val="24"/>
          <w:szCs w:val="24"/>
        </w:rPr>
        <w:t>4</w:t>
      </w:r>
    </w:p>
    <w:p w:rsidR="00653047" w:rsidRPr="005B428E" w:rsidRDefault="00653047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5B428E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B428E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5B428E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5B428E" w:rsidRDefault="00FA3059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 xml:space="preserve">O </w:t>
      </w:r>
      <w:r w:rsidR="00CF6266" w:rsidRPr="005B428E">
        <w:rPr>
          <w:rFonts w:ascii="Palatino Linotype" w:hAnsi="Palatino Linotype"/>
          <w:sz w:val="24"/>
          <w:szCs w:val="24"/>
        </w:rPr>
        <w:t>Poder Executivo Municipal</w:t>
      </w:r>
      <w:r w:rsidRPr="005B428E">
        <w:rPr>
          <w:rFonts w:ascii="Palatino Linotype" w:hAnsi="Palatino Linotype"/>
          <w:sz w:val="24"/>
          <w:szCs w:val="24"/>
        </w:rPr>
        <w:t xml:space="preserve"> </w:t>
      </w:r>
      <w:r w:rsidR="00F87BF5" w:rsidRPr="005B428E">
        <w:rPr>
          <w:rFonts w:ascii="Palatino Linotype" w:hAnsi="Palatino Linotype"/>
          <w:sz w:val="24"/>
          <w:szCs w:val="24"/>
        </w:rPr>
        <w:t>apresent</w:t>
      </w:r>
      <w:r w:rsidR="00CF6266" w:rsidRPr="005B428E">
        <w:rPr>
          <w:rFonts w:ascii="Palatino Linotype" w:hAnsi="Palatino Linotype"/>
          <w:sz w:val="24"/>
          <w:szCs w:val="24"/>
        </w:rPr>
        <w:t>ou</w:t>
      </w:r>
      <w:r w:rsidR="00F87BF5" w:rsidRPr="005B428E">
        <w:rPr>
          <w:rFonts w:ascii="Palatino Linotype" w:hAnsi="Palatino Linotype"/>
          <w:sz w:val="24"/>
          <w:szCs w:val="24"/>
        </w:rPr>
        <w:t xml:space="preserve"> </w:t>
      </w:r>
      <w:r w:rsidR="009E03A3" w:rsidRPr="005B428E">
        <w:rPr>
          <w:rFonts w:ascii="Palatino Linotype" w:hAnsi="Palatino Linotype"/>
          <w:sz w:val="24"/>
          <w:szCs w:val="24"/>
        </w:rPr>
        <w:t>o Projeto de Lei</w:t>
      </w:r>
      <w:r w:rsidR="005B428E">
        <w:rPr>
          <w:rFonts w:ascii="Palatino Linotype" w:hAnsi="Palatino Linotype"/>
          <w:sz w:val="24"/>
          <w:szCs w:val="24"/>
        </w:rPr>
        <w:t xml:space="preserve"> do Exec</w:t>
      </w:r>
      <w:r w:rsidR="005B428E">
        <w:rPr>
          <w:rFonts w:ascii="Palatino Linotype" w:hAnsi="Palatino Linotype"/>
          <w:sz w:val="24"/>
          <w:szCs w:val="24"/>
        </w:rPr>
        <w:t>u</w:t>
      </w:r>
      <w:r w:rsidR="005B428E">
        <w:rPr>
          <w:rFonts w:ascii="Palatino Linotype" w:hAnsi="Palatino Linotype"/>
          <w:sz w:val="24"/>
          <w:szCs w:val="24"/>
        </w:rPr>
        <w:t>tivo</w:t>
      </w:r>
      <w:r w:rsidR="009E03A3" w:rsidRPr="005B428E">
        <w:rPr>
          <w:rFonts w:ascii="Palatino Linotype" w:hAnsi="Palatino Linotype"/>
          <w:sz w:val="24"/>
          <w:szCs w:val="24"/>
        </w:rPr>
        <w:t xml:space="preserve"> nº </w:t>
      </w:r>
      <w:r w:rsidR="00CF6266" w:rsidRPr="005B428E">
        <w:rPr>
          <w:rFonts w:ascii="Palatino Linotype" w:hAnsi="Palatino Linotype"/>
          <w:sz w:val="24"/>
          <w:szCs w:val="24"/>
        </w:rPr>
        <w:t>0</w:t>
      </w:r>
      <w:r w:rsidR="00D176D5">
        <w:rPr>
          <w:rFonts w:ascii="Palatino Linotype" w:hAnsi="Palatino Linotype"/>
          <w:sz w:val="24"/>
          <w:szCs w:val="24"/>
        </w:rPr>
        <w:t>41</w:t>
      </w:r>
      <w:r w:rsidR="009E03A3" w:rsidRPr="005B428E">
        <w:rPr>
          <w:rFonts w:ascii="Palatino Linotype" w:hAnsi="Palatino Linotype"/>
          <w:sz w:val="24"/>
          <w:szCs w:val="24"/>
        </w:rPr>
        <w:t>/</w:t>
      </w:r>
      <w:r w:rsidR="00827C1F" w:rsidRPr="005B428E">
        <w:rPr>
          <w:rFonts w:ascii="Palatino Linotype" w:hAnsi="Palatino Linotype"/>
          <w:sz w:val="24"/>
          <w:szCs w:val="24"/>
        </w:rPr>
        <w:t>20</w:t>
      </w:r>
      <w:r w:rsidR="00A82AC7" w:rsidRPr="005B428E">
        <w:rPr>
          <w:rFonts w:ascii="Palatino Linotype" w:hAnsi="Palatino Linotype"/>
          <w:sz w:val="24"/>
          <w:szCs w:val="24"/>
        </w:rPr>
        <w:t>2</w:t>
      </w:r>
      <w:r w:rsidR="005B428E">
        <w:rPr>
          <w:rFonts w:ascii="Palatino Linotype" w:hAnsi="Palatino Linotype"/>
          <w:sz w:val="24"/>
          <w:szCs w:val="24"/>
        </w:rPr>
        <w:t>4</w:t>
      </w:r>
      <w:r w:rsidR="00A82AC7" w:rsidRPr="005B428E">
        <w:rPr>
          <w:rFonts w:ascii="Palatino Linotype" w:hAnsi="Palatino Linotype"/>
          <w:sz w:val="24"/>
          <w:szCs w:val="24"/>
        </w:rPr>
        <w:t xml:space="preserve"> </w:t>
      </w:r>
      <w:r w:rsidR="009E03A3" w:rsidRPr="005B428E">
        <w:rPr>
          <w:rFonts w:ascii="Palatino Linotype" w:hAnsi="Palatino Linotype"/>
          <w:sz w:val="24"/>
          <w:szCs w:val="24"/>
        </w:rPr>
        <w:t>à Câmara Municipal</w:t>
      </w:r>
      <w:r w:rsidR="008138B2" w:rsidRPr="005B428E">
        <w:rPr>
          <w:rFonts w:ascii="Palatino Linotype" w:hAnsi="Palatino Linotype"/>
          <w:sz w:val="24"/>
          <w:szCs w:val="24"/>
        </w:rPr>
        <w:t>,</w:t>
      </w:r>
      <w:r w:rsidR="009E03A3" w:rsidRPr="005B428E">
        <w:rPr>
          <w:rFonts w:ascii="Palatino Linotype" w:hAnsi="Palatino Linotype"/>
          <w:sz w:val="24"/>
          <w:szCs w:val="24"/>
        </w:rPr>
        <w:t xml:space="preserve"> </w:t>
      </w:r>
      <w:r w:rsidR="00A82AC7" w:rsidRPr="005B428E">
        <w:rPr>
          <w:rFonts w:ascii="Palatino Linotype" w:hAnsi="Palatino Linotype"/>
          <w:sz w:val="24"/>
          <w:szCs w:val="24"/>
        </w:rPr>
        <w:t>o qual “</w:t>
      </w:r>
      <w:r w:rsidR="00D176D5" w:rsidRPr="00D176D5">
        <w:rPr>
          <w:rFonts w:ascii="Palatino Linotype" w:hAnsi="Palatino Linotype"/>
          <w:sz w:val="24"/>
          <w:szCs w:val="24"/>
        </w:rPr>
        <w:t>Altera a Lei Municipal nº 4.589, de 10 de junho de 2024, que institui medidas temporárias de mitigação dos efe</w:t>
      </w:r>
      <w:r w:rsidR="00D176D5" w:rsidRPr="00D176D5">
        <w:rPr>
          <w:rFonts w:ascii="Palatino Linotype" w:hAnsi="Palatino Linotype"/>
          <w:sz w:val="24"/>
          <w:szCs w:val="24"/>
        </w:rPr>
        <w:t>i</w:t>
      </w:r>
      <w:r w:rsidR="00D176D5" w:rsidRPr="00D176D5">
        <w:rPr>
          <w:rFonts w:ascii="Palatino Linotype" w:hAnsi="Palatino Linotype"/>
          <w:sz w:val="24"/>
          <w:szCs w:val="24"/>
        </w:rPr>
        <w:t>tos da calamidade pública, converte Decretos Municipais em Lei, prorroga co</w:t>
      </w:r>
      <w:r w:rsidR="00D176D5" w:rsidRPr="00D176D5">
        <w:rPr>
          <w:rFonts w:ascii="Palatino Linotype" w:hAnsi="Palatino Linotype"/>
          <w:sz w:val="24"/>
          <w:szCs w:val="24"/>
        </w:rPr>
        <w:t>n</w:t>
      </w:r>
      <w:r w:rsidR="00D176D5" w:rsidRPr="00D176D5">
        <w:rPr>
          <w:rFonts w:ascii="Palatino Linotype" w:hAnsi="Palatino Linotype"/>
          <w:sz w:val="24"/>
          <w:szCs w:val="24"/>
        </w:rPr>
        <w:t>tratos temporários, concede remissão de tributo e cria o auto habite-se</w:t>
      </w:r>
      <w:r w:rsidR="00A82AC7" w:rsidRPr="005B428E">
        <w:rPr>
          <w:rFonts w:ascii="Palatino Linotype" w:hAnsi="Palatino Linotype"/>
          <w:sz w:val="24"/>
          <w:szCs w:val="24"/>
        </w:rPr>
        <w:t>”</w:t>
      </w:r>
      <w:r w:rsidRPr="005B428E">
        <w:rPr>
          <w:rFonts w:ascii="Palatino Linotype" w:hAnsi="Palatino Linotype"/>
          <w:sz w:val="24"/>
          <w:szCs w:val="24"/>
        </w:rPr>
        <w:t>.</w:t>
      </w:r>
      <w:r w:rsidR="00720AC8" w:rsidRPr="005B428E">
        <w:rPr>
          <w:rFonts w:ascii="Palatino Linotype" w:hAnsi="Palatino Linotype"/>
          <w:sz w:val="24"/>
          <w:szCs w:val="24"/>
        </w:rPr>
        <w:t xml:space="preserve"> </w:t>
      </w:r>
      <w:r w:rsidR="00CF6266" w:rsidRPr="005B428E">
        <w:rPr>
          <w:rFonts w:ascii="Palatino Linotype" w:hAnsi="Palatino Linotype"/>
          <w:sz w:val="24"/>
          <w:szCs w:val="24"/>
        </w:rPr>
        <w:t>A pr</w:t>
      </w:r>
      <w:r w:rsidR="00CF6266" w:rsidRPr="005B428E">
        <w:rPr>
          <w:rFonts w:ascii="Palatino Linotype" w:hAnsi="Palatino Linotype"/>
          <w:sz w:val="24"/>
          <w:szCs w:val="24"/>
        </w:rPr>
        <w:t>o</w:t>
      </w:r>
      <w:r w:rsidR="00CF6266" w:rsidRPr="005B428E">
        <w:rPr>
          <w:rFonts w:ascii="Palatino Linotype" w:hAnsi="Palatino Linotype"/>
          <w:sz w:val="24"/>
          <w:szCs w:val="24"/>
        </w:rPr>
        <w:t xml:space="preserve">posta foi encaminhada à Procuradoria pela Presidência da Câmara para análise nos termos do artigo </w:t>
      </w:r>
      <w:r w:rsidR="005B428E">
        <w:rPr>
          <w:rFonts w:ascii="Palatino Linotype" w:hAnsi="Palatino Linotype"/>
          <w:sz w:val="24"/>
          <w:szCs w:val="24"/>
        </w:rPr>
        <w:t>72</w:t>
      </w:r>
      <w:r w:rsidR="00CF6266" w:rsidRPr="005B428E">
        <w:rPr>
          <w:rFonts w:ascii="Palatino Linotype" w:hAnsi="Palatino Linotype"/>
          <w:sz w:val="24"/>
          <w:szCs w:val="24"/>
        </w:rPr>
        <w:t xml:space="preserve"> do RI.</w:t>
      </w:r>
    </w:p>
    <w:p w:rsidR="00B56946" w:rsidRPr="005B428E" w:rsidRDefault="00B56946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5B428E" w:rsidRDefault="00FC2476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B428E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5B428E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469A7" w:rsidRDefault="00FF3AFF" w:rsidP="00E228F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 xml:space="preserve">Inicialmente, </w:t>
      </w:r>
      <w:r w:rsidR="001469A7">
        <w:rPr>
          <w:rFonts w:ascii="Palatino Linotype" w:hAnsi="Palatino Linotype"/>
          <w:sz w:val="24"/>
          <w:szCs w:val="24"/>
        </w:rPr>
        <w:t>cabe sublinhar que neste contexto</w:t>
      </w:r>
      <w:r w:rsidR="00E228F0">
        <w:rPr>
          <w:rFonts w:ascii="Palatino Linotype" w:hAnsi="Palatino Linotype"/>
          <w:sz w:val="24"/>
          <w:szCs w:val="24"/>
        </w:rPr>
        <w:t xml:space="preserve"> de </w:t>
      </w:r>
      <w:r w:rsidR="00E228F0" w:rsidRPr="00E228F0">
        <w:rPr>
          <w:rFonts w:ascii="Palatino Linotype" w:hAnsi="Palatino Linotype"/>
          <w:sz w:val="24"/>
          <w:szCs w:val="24"/>
        </w:rPr>
        <w:t>estado de calam</w:t>
      </w:r>
      <w:r w:rsidR="00E228F0" w:rsidRPr="00E228F0">
        <w:rPr>
          <w:rFonts w:ascii="Palatino Linotype" w:hAnsi="Palatino Linotype"/>
          <w:sz w:val="24"/>
          <w:szCs w:val="24"/>
        </w:rPr>
        <w:t>i</w:t>
      </w:r>
      <w:r w:rsidR="00E228F0" w:rsidRPr="00E228F0">
        <w:rPr>
          <w:rFonts w:ascii="Palatino Linotype" w:hAnsi="Palatino Linotype"/>
          <w:sz w:val="24"/>
          <w:szCs w:val="24"/>
        </w:rPr>
        <w:t>dade pública de extrema gravidade, cuja declaração se materializou no âmbito municipal através do Decreto n°</w:t>
      </w:r>
      <w:r w:rsidR="00E228F0">
        <w:rPr>
          <w:rFonts w:ascii="Palatino Linotype" w:hAnsi="Palatino Linotype"/>
          <w:sz w:val="24"/>
          <w:szCs w:val="24"/>
        </w:rPr>
        <w:t xml:space="preserve"> 5</w:t>
      </w:r>
      <w:r w:rsidR="006E52B1">
        <w:rPr>
          <w:rFonts w:ascii="Palatino Linotype" w:hAnsi="Palatino Linotype"/>
          <w:sz w:val="24"/>
          <w:szCs w:val="24"/>
        </w:rPr>
        <w:t>1</w:t>
      </w:r>
      <w:r w:rsidR="00E228F0" w:rsidRPr="00E228F0">
        <w:rPr>
          <w:rFonts w:ascii="Palatino Linotype" w:hAnsi="Palatino Linotype"/>
          <w:sz w:val="24"/>
          <w:szCs w:val="24"/>
        </w:rPr>
        <w:t>,</w:t>
      </w:r>
      <w:r w:rsidR="00E228F0">
        <w:rPr>
          <w:rFonts w:ascii="Palatino Linotype" w:hAnsi="Palatino Linotype"/>
          <w:sz w:val="24"/>
          <w:szCs w:val="24"/>
        </w:rPr>
        <w:t xml:space="preserve"> </w:t>
      </w:r>
      <w:r w:rsidR="00E228F0" w:rsidRPr="00E228F0">
        <w:rPr>
          <w:rFonts w:ascii="Palatino Linotype" w:hAnsi="Palatino Linotype"/>
          <w:sz w:val="24"/>
          <w:szCs w:val="24"/>
        </w:rPr>
        <w:t xml:space="preserve">de </w:t>
      </w:r>
      <w:r w:rsidR="006E52B1">
        <w:rPr>
          <w:rFonts w:ascii="Palatino Linotype" w:hAnsi="Palatino Linotype"/>
          <w:sz w:val="24"/>
          <w:szCs w:val="24"/>
        </w:rPr>
        <w:t>05</w:t>
      </w:r>
      <w:r w:rsidR="00E228F0" w:rsidRPr="00E228F0">
        <w:rPr>
          <w:rFonts w:ascii="Palatino Linotype" w:hAnsi="Palatino Linotype"/>
          <w:sz w:val="24"/>
          <w:szCs w:val="24"/>
        </w:rPr>
        <w:t xml:space="preserve"> de maio de 2024</w:t>
      </w:r>
      <w:r w:rsidR="001469A7">
        <w:rPr>
          <w:rFonts w:ascii="Palatino Linotype" w:hAnsi="Palatino Linotype"/>
          <w:sz w:val="24"/>
          <w:szCs w:val="24"/>
        </w:rPr>
        <w:t xml:space="preserve">, </w:t>
      </w:r>
      <w:r w:rsidR="005A5471">
        <w:rPr>
          <w:rFonts w:ascii="Palatino Linotype" w:hAnsi="Palatino Linotype"/>
          <w:sz w:val="24"/>
          <w:szCs w:val="24"/>
        </w:rPr>
        <w:t>faz-se</w:t>
      </w:r>
      <w:r w:rsidR="001469A7">
        <w:rPr>
          <w:rFonts w:ascii="Palatino Linotype" w:hAnsi="Palatino Linotype"/>
          <w:sz w:val="24"/>
          <w:szCs w:val="24"/>
        </w:rPr>
        <w:t xml:space="preserve"> premente</w:t>
      </w:r>
      <w:r w:rsidR="001469A7" w:rsidRPr="001469A7">
        <w:rPr>
          <w:rFonts w:ascii="Palatino Linotype" w:hAnsi="Palatino Linotype"/>
          <w:sz w:val="24"/>
          <w:szCs w:val="24"/>
        </w:rPr>
        <w:t xml:space="preserve"> perceber que cabe ao Administrador Público, diante de uma catástrofe</w:t>
      </w:r>
      <w:r w:rsidR="005A5471">
        <w:rPr>
          <w:rFonts w:ascii="Palatino Linotype" w:hAnsi="Palatino Linotype"/>
          <w:sz w:val="24"/>
          <w:szCs w:val="24"/>
        </w:rPr>
        <w:t xml:space="preserve"> ambie</w:t>
      </w:r>
      <w:r w:rsidR="005A5471">
        <w:rPr>
          <w:rFonts w:ascii="Palatino Linotype" w:hAnsi="Palatino Linotype"/>
          <w:sz w:val="24"/>
          <w:szCs w:val="24"/>
        </w:rPr>
        <w:t>n</w:t>
      </w:r>
      <w:r w:rsidR="005A5471">
        <w:rPr>
          <w:rFonts w:ascii="Palatino Linotype" w:hAnsi="Palatino Linotype"/>
          <w:sz w:val="24"/>
          <w:szCs w:val="24"/>
        </w:rPr>
        <w:t>tal</w:t>
      </w:r>
      <w:r w:rsidR="001469A7" w:rsidRPr="001469A7">
        <w:rPr>
          <w:rFonts w:ascii="Palatino Linotype" w:hAnsi="Palatino Linotype"/>
          <w:sz w:val="24"/>
          <w:szCs w:val="24"/>
        </w:rPr>
        <w:t xml:space="preserve"> sem precedentes como a que acon</w:t>
      </w:r>
      <w:r w:rsidR="00B91365">
        <w:rPr>
          <w:rFonts w:ascii="Palatino Linotype" w:hAnsi="Palatino Linotype"/>
          <w:sz w:val="24"/>
          <w:szCs w:val="24"/>
        </w:rPr>
        <w:t>tece</w:t>
      </w:r>
      <w:r w:rsidR="001469A7" w:rsidRPr="001469A7">
        <w:rPr>
          <w:rFonts w:ascii="Palatino Linotype" w:hAnsi="Palatino Linotype"/>
          <w:sz w:val="24"/>
          <w:szCs w:val="24"/>
        </w:rPr>
        <w:t xml:space="preserve"> no </w:t>
      </w:r>
      <w:r w:rsidR="00B91365">
        <w:rPr>
          <w:rFonts w:ascii="Palatino Linotype" w:hAnsi="Palatino Linotype"/>
          <w:sz w:val="24"/>
          <w:szCs w:val="24"/>
        </w:rPr>
        <w:t>Estado do Rio Grande do Sul e e</w:t>
      </w:r>
      <w:r w:rsidR="00B91365">
        <w:rPr>
          <w:rFonts w:ascii="Palatino Linotype" w:hAnsi="Palatino Linotype"/>
          <w:sz w:val="24"/>
          <w:szCs w:val="24"/>
        </w:rPr>
        <w:t>s</w:t>
      </w:r>
      <w:r w:rsidR="00B91365">
        <w:rPr>
          <w:rFonts w:ascii="Palatino Linotype" w:hAnsi="Palatino Linotype"/>
          <w:sz w:val="24"/>
          <w:szCs w:val="24"/>
        </w:rPr>
        <w:t>pecificamente em Guaíba</w:t>
      </w:r>
      <w:r w:rsidR="001469A7" w:rsidRPr="001469A7">
        <w:rPr>
          <w:rFonts w:ascii="Palatino Linotype" w:hAnsi="Palatino Linotype"/>
          <w:sz w:val="24"/>
          <w:szCs w:val="24"/>
        </w:rPr>
        <w:t>, com potencial dano não só às estruturas fundame</w:t>
      </w:r>
      <w:r w:rsidR="001469A7" w:rsidRPr="001469A7">
        <w:rPr>
          <w:rFonts w:ascii="Palatino Linotype" w:hAnsi="Palatino Linotype"/>
          <w:sz w:val="24"/>
          <w:szCs w:val="24"/>
        </w:rPr>
        <w:t>n</w:t>
      </w:r>
      <w:r w:rsidR="001469A7" w:rsidRPr="001469A7">
        <w:rPr>
          <w:rFonts w:ascii="Palatino Linotype" w:hAnsi="Palatino Linotype"/>
          <w:sz w:val="24"/>
          <w:szCs w:val="24"/>
        </w:rPr>
        <w:t>tais do Estado, como tam</w:t>
      </w:r>
      <w:r w:rsidR="00B91365">
        <w:rPr>
          <w:rFonts w:ascii="Palatino Linotype" w:hAnsi="Palatino Linotype"/>
          <w:sz w:val="24"/>
          <w:szCs w:val="24"/>
        </w:rPr>
        <w:t>bém à</w:t>
      </w:r>
      <w:r w:rsidR="001469A7" w:rsidRPr="001469A7">
        <w:rPr>
          <w:rFonts w:ascii="Palatino Linotype" w:hAnsi="Palatino Linotype"/>
          <w:sz w:val="24"/>
          <w:szCs w:val="24"/>
        </w:rPr>
        <w:t xml:space="preserve"> economia, agir de modo eficaz, minimizando os prejuízos à população</w:t>
      </w:r>
      <w:r w:rsidR="00B91365">
        <w:rPr>
          <w:rFonts w:ascii="Palatino Linotype" w:hAnsi="Palatino Linotype"/>
          <w:sz w:val="24"/>
          <w:szCs w:val="24"/>
        </w:rPr>
        <w:t>, o que pretende o Chefe do Poder Executivo com a pr</w:t>
      </w:r>
      <w:r w:rsidR="00B91365">
        <w:rPr>
          <w:rFonts w:ascii="Palatino Linotype" w:hAnsi="Palatino Linotype"/>
          <w:sz w:val="24"/>
          <w:szCs w:val="24"/>
        </w:rPr>
        <w:t>o</w:t>
      </w:r>
      <w:r w:rsidR="00B91365">
        <w:rPr>
          <w:rFonts w:ascii="Palatino Linotype" w:hAnsi="Palatino Linotype"/>
          <w:sz w:val="24"/>
          <w:szCs w:val="24"/>
        </w:rPr>
        <w:t>positura legislativa em apreço</w:t>
      </w:r>
      <w:r w:rsidR="001469A7" w:rsidRPr="001469A7">
        <w:rPr>
          <w:rFonts w:ascii="Palatino Linotype" w:hAnsi="Palatino Linotype"/>
          <w:sz w:val="24"/>
          <w:szCs w:val="24"/>
        </w:rPr>
        <w:t>.</w:t>
      </w:r>
    </w:p>
    <w:p w:rsidR="001469A7" w:rsidRDefault="001469A7" w:rsidP="0028136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F3AFF" w:rsidRPr="005B428E" w:rsidRDefault="001469A7" w:rsidP="0028136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FF3AFF" w:rsidRPr="005B428E">
        <w:rPr>
          <w:rFonts w:ascii="Palatino Linotype" w:hAnsi="Palatino Linotype"/>
          <w:sz w:val="24"/>
          <w:szCs w:val="24"/>
        </w:rPr>
        <w:t xml:space="preserve">erifica-se estar </w:t>
      </w:r>
      <w:r w:rsidR="00EB42B2" w:rsidRPr="005B428E">
        <w:rPr>
          <w:rFonts w:ascii="Palatino Linotype" w:hAnsi="Palatino Linotype"/>
          <w:sz w:val="24"/>
          <w:szCs w:val="24"/>
        </w:rPr>
        <w:t>adequada</w:t>
      </w:r>
      <w:r w:rsidR="00FF3AFF" w:rsidRPr="005B428E">
        <w:rPr>
          <w:rFonts w:ascii="Palatino Linotype" w:hAnsi="Palatino Linotype"/>
          <w:sz w:val="24"/>
          <w:szCs w:val="24"/>
        </w:rPr>
        <w:t xml:space="preserve"> </w:t>
      </w:r>
      <w:r w:rsidR="00EB42B2" w:rsidRPr="005B428E">
        <w:rPr>
          <w:rFonts w:ascii="Palatino Linotype" w:hAnsi="Palatino Linotype"/>
          <w:sz w:val="24"/>
          <w:szCs w:val="24"/>
        </w:rPr>
        <w:t>a</w:t>
      </w:r>
      <w:r w:rsidR="00FF3AFF" w:rsidRPr="005B428E">
        <w:rPr>
          <w:rFonts w:ascii="Palatino Linotype" w:hAnsi="Palatino Linotype"/>
          <w:sz w:val="24"/>
          <w:szCs w:val="24"/>
        </w:rPr>
        <w:t xml:space="preserve"> </w:t>
      </w:r>
      <w:r w:rsidR="00EB42B2" w:rsidRPr="005B428E">
        <w:rPr>
          <w:rFonts w:ascii="Palatino Linotype" w:hAnsi="Palatino Linotype"/>
          <w:sz w:val="24"/>
          <w:szCs w:val="24"/>
        </w:rPr>
        <w:t>iniciativa para a deflagração do processo legislativo, uma vez que o projeto de</w:t>
      </w:r>
      <w:r w:rsidR="00653047" w:rsidRPr="005B428E">
        <w:rPr>
          <w:rFonts w:ascii="Palatino Linotype" w:hAnsi="Palatino Linotype"/>
          <w:sz w:val="24"/>
          <w:szCs w:val="24"/>
        </w:rPr>
        <w:t xml:space="preserve"> lei apresentado propõe</w:t>
      </w:r>
      <w:r w:rsidR="00FC2476" w:rsidRPr="005B428E">
        <w:rPr>
          <w:rFonts w:ascii="Palatino Linotype" w:hAnsi="Palatino Linotype"/>
          <w:sz w:val="24"/>
          <w:szCs w:val="24"/>
        </w:rPr>
        <w:t xml:space="preserve"> alterações </w:t>
      </w:r>
      <w:r w:rsidR="00137D17" w:rsidRPr="005B428E">
        <w:rPr>
          <w:rFonts w:ascii="Palatino Linotype" w:hAnsi="Palatino Linotype"/>
          <w:sz w:val="24"/>
          <w:szCs w:val="24"/>
        </w:rPr>
        <w:t>quanto à</w:t>
      </w:r>
      <w:r w:rsidR="00D176D5">
        <w:rPr>
          <w:rFonts w:ascii="Palatino Linotype" w:hAnsi="Palatino Linotype"/>
          <w:sz w:val="24"/>
          <w:szCs w:val="24"/>
        </w:rPr>
        <w:t xml:space="preserve"> Lei Municipal nº 4.589/2024 a qual previu a</w:t>
      </w:r>
      <w:r w:rsidR="00137D17" w:rsidRPr="005B428E">
        <w:rPr>
          <w:rFonts w:ascii="Palatino Linotype" w:hAnsi="Palatino Linotype"/>
          <w:sz w:val="24"/>
          <w:szCs w:val="24"/>
        </w:rPr>
        <w:t xml:space="preserve"> remissão, em caráter excepcional, </w:t>
      </w:r>
      <w:r w:rsidR="00F07E05">
        <w:rPr>
          <w:rFonts w:ascii="Palatino Linotype" w:hAnsi="Palatino Linotype"/>
          <w:sz w:val="24"/>
          <w:szCs w:val="24"/>
        </w:rPr>
        <w:lastRenderedPageBreak/>
        <w:t>d</w:t>
      </w:r>
      <w:r w:rsidR="00137D17" w:rsidRPr="005B428E">
        <w:rPr>
          <w:rFonts w:ascii="Palatino Linotype" w:hAnsi="Palatino Linotype"/>
          <w:sz w:val="24"/>
          <w:szCs w:val="24"/>
        </w:rPr>
        <w:t>o IPTU</w:t>
      </w:r>
      <w:r w:rsidR="00291601">
        <w:rPr>
          <w:rFonts w:ascii="Palatino Linotype" w:hAnsi="Palatino Linotype"/>
          <w:sz w:val="24"/>
          <w:szCs w:val="24"/>
        </w:rPr>
        <w:t xml:space="preserve"> e da TCL</w:t>
      </w:r>
      <w:r w:rsidR="00A20A99">
        <w:rPr>
          <w:rFonts w:ascii="Palatino Linotype" w:hAnsi="Palatino Linotype"/>
          <w:sz w:val="24"/>
          <w:szCs w:val="24"/>
        </w:rPr>
        <w:t xml:space="preserve"> referente</w:t>
      </w:r>
      <w:r w:rsidR="00291601">
        <w:rPr>
          <w:rFonts w:ascii="Palatino Linotype" w:hAnsi="Palatino Linotype"/>
          <w:sz w:val="24"/>
          <w:szCs w:val="24"/>
        </w:rPr>
        <w:t>s</w:t>
      </w:r>
      <w:r w:rsidR="00A20A99">
        <w:rPr>
          <w:rFonts w:ascii="Palatino Linotype" w:hAnsi="Palatino Linotype"/>
          <w:sz w:val="24"/>
          <w:szCs w:val="24"/>
        </w:rPr>
        <w:t xml:space="preserve"> </w:t>
      </w:r>
      <w:r w:rsidR="00291601">
        <w:rPr>
          <w:rFonts w:ascii="Palatino Linotype" w:hAnsi="Palatino Linotype"/>
          <w:sz w:val="24"/>
          <w:szCs w:val="24"/>
        </w:rPr>
        <w:t xml:space="preserve">ao exercício de </w:t>
      </w:r>
      <w:r w:rsidR="00A20A99">
        <w:rPr>
          <w:rFonts w:ascii="Palatino Linotype" w:hAnsi="Palatino Linotype"/>
          <w:sz w:val="24"/>
          <w:szCs w:val="24"/>
        </w:rPr>
        <w:t>2024,</w:t>
      </w:r>
      <w:r w:rsidR="00F07E05">
        <w:rPr>
          <w:rFonts w:ascii="Palatino Linotype" w:hAnsi="Palatino Linotype"/>
          <w:sz w:val="24"/>
          <w:szCs w:val="24"/>
        </w:rPr>
        <w:t xml:space="preserve"> dos imóveis situados nas </w:t>
      </w:r>
      <w:r w:rsidR="00F07E05">
        <w:rPr>
          <w:rFonts w:ascii="Palatino Linotype" w:hAnsi="Palatino Linotype"/>
          <w:sz w:val="24"/>
          <w:szCs w:val="24"/>
        </w:rPr>
        <w:t>á</w:t>
      </w:r>
      <w:r w:rsidR="00F07E05">
        <w:rPr>
          <w:rFonts w:ascii="Palatino Linotype" w:hAnsi="Palatino Linotype"/>
          <w:sz w:val="24"/>
          <w:szCs w:val="24"/>
        </w:rPr>
        <w:t>reas afetadas pela calamidade pública</w:t>
      </w:r>
      <w:r w:rsidR="00D176D5">
        <w:rPr>
          <w:rFonts w:ascii="Palatino Linotype" w:hAnsi="Palatino Linotype"/>
          <w:sz w:val="24"/>
          <w:szCs w:val="24"/>
        </w:rPr>
        <w:t xml:space="preserve"> e que serviram de abrigo ou cozinha c</w:t>
      </w:r>
      <w:r w:rsidR="00D176D5">
        <w:rPr>
          <w:rFonts w:ascii="Palatino Linotype" w:hAnsi="Palatino Linotype"/>
          <w:sz w:val="24"/>
          <w:szCs w:val="24"/>
        </w:rPr>
        <w:t>o</w:t>
      </w:r>
      <w:r w:rsidR="00D176D5">
        <w:rPr>
          <w:rFonts w:ascii="Palatino Linotype" w:hAnsi="Palatino Linotype"/>
          <w:sz w:val="24"/>
          <w:szCs w:val="24"/>
        </w:rPr>
        <w:t>munitária</w:t>
      </w:r>
      <w:r w:rsidR="00137D17" w:rsidRPr="005B428E">
        <w:rPr>
          <w:rFonts w:ascii="Palatino Linotype" w:hAnsi="Palatino Linotype"/>
          <w:sz w:val="24"/>
          <w:szCs w:val="24"/>
        </w:rPr>
        <w:t xml:space="preserve">, </w:t>
      </w:r>
      <w:r w:rsidR="00825041" w:rsidRPr="005B428E">
        <w:rPr>
          <w:rFonts w:ascii="Palatino Linotype" w:hAnsi="Palatino Linotype"/>
          <w:sz w:val="24"/>
          <w:szCs w:val="24"/>
        </w:rPr>
        <w:t>matéria para a qual é reconhecida a iniciativa concorrente, nos te</w:t>
      </w:r>
      <w:r w:rsidR="00825041" w:rsidRPr="005B428E">
        <w:rPr>
          <w:rFonts w:ascii="Palatino Linotype" w:hAnsi="Palatino Linotype"/>
          <w:sz w:val="24"/>
          <w:szCs w:val="24"/>
        </w:rPr>
        <w:t>r</w:t>
      </w:r>
      <w:r w:rsidR="00825041" w:rsidRPr="005B428E">
        <w:rPr>
          <w:rFonts w:ascii="Palatino Linotype" w:hAnsi="Palatino Linotype"/>
          <w:sz w:val="24"/>
          <w:szCs w:val="24"/>
        </w:rPr>
        <w:t>mos do artigo 61 da CF/88, artigo 59 da CE/RS e arti</w:t>
      </w:r>
      <w:r w:rsidR="00B90058" w:rsidRPr="005B428E">
        <w:rPr>
          <w:rFonts w:ascii="Palatino Linotype" w:hAnsi="Palatino Linotype"/>
          <w:sz w:val="24"/>
          <w:szCs w:val="24"/>
        </w:rPr>
        <w:t>go 38 da Lei Orgânica M</w:t>
      </w:r>
      <w:r w:rsidR="00B90058" w:rsidRPr="005B428E">
        <w:rPr>
          <w:rFonts w:ascii="Palatino Linotype" w:hAnsi="Palatino Linotype"/>
          <w:sz w:val="24"/>
          <w:szCs w:val="24"/>
        </w:rPr>
        <w:t>u</w:t>
      </w:r>
      <w:r w:rsidR="00B90058" w:rsidRPr="005B428E">
        <w:rPr>
          <w:rFonts w:ascii="Palatino Linotype" w:hAnsi="Palatino Linotype"/>
          <w:sz w:val="24"/>
          <w:szCs w:val="24"/>
        </w:rPr>
        <w:t>nicipal:</w:t>
      </w:r>
    </w:p>
    <w:p w:rsidR="00B90058" w:rsidRPr="005B428E" w:rsidRDefault="00B90058" w:rsidP="0028136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B90058" w:rsidRPr="003D0553" w:rsidRDefault="00B90058" w:rsidP="00B90058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sz w:val="20"/>
          <w:szCs w:val="24"/>
        </w:rPr>
        <w:t>A Constituição de 1988 admite a iniciativa parlamentar na in</w:t>
      </w:r>
      <w:r w:rsidRPr="003D0553">
        <w:rPr>
          <w:rFonts w:ascii="Palatino Linotype" w:hAnsi="Palatino Linotype"/>
          <w:sz w:val="20"/>
          <w:szCs w:val="24"/>
        </w:rPr>
        <w:t>s</w:t>
      </w:r>
      <w:r w:rsidRPr="003D0553">
        <w:rPr>
          <w:rFonts w:ascii="Palatino Linotype" w:hAnsi="Palatino Linotype"/>
          <w:sz w:val="20"/>
          <w:szCs w:val="24"/>
        </w:rPr>
        <w:t>tauração do processo legislativo em tema de direito tributário. A iniciativa reservada, por constituir matéria de direito estrito, não se presume e nem comporta interpretação ampliativa, na medida em que, por implicar limitação ao poder de instauração do processo legislativo, deve necessariamente derivar de norma constitucional explícita e inequívoca. O ato de legislar sobre d</w:t>
      </w:r>
      <w:r w:rsidRPr="003D0553">
        <w:rPr>
          <w:rFonts w:ascii="Palatino Linotype" w:hAnsi="Palatino Linotype"/>
          <w:sz w:val="20"/>
          <w:szCs w:val="24"/>
        </w:rPr>
        <w:t>i</w:t>
      </w:r>
      <w:r w:rsidRPr="003D0553">
        <w:rPr>
          <w:rFonts w:ascii="Palatino Linotype" w:hAnsi="Palatino Linotype"/>
          <w:sz w:val="20"/>
          <w:szCs w:val="24"/>
        </w:rPr>
        <w:t>reito tributário, ainda que para conceder benefícios jurídicos de ordem fiscal, não se equipara, especialmente para os fins de in</w:t>
      </w:r>
      <w:r w:rsidRPr="003D0553">
        <w:rPr>
          <w:rFonts w:ascii="Palatino Linotype" w:hAnsi="Palatino Linotype"/>
          <w:sz w:val="20"/>
          <w:szCs w:val="24"/>
        </w:rPr>
        <w:t>s</w:t>
      </w:r>
      <w:r w:rsidRPr="003D0553">
        <w:rPr>
          <w:rFonts w:ascii="Palatino Linotype" w:hAnsi="Palatino Linotype"/>
          <w:sz w:val="20"/>
          <w:szCs w:val="24"/>
        </w:rPr>
        <w:t xml:space="preserve">tauração do respectivo processo legislativo, ao ato de legislar sobre o orçamento do Estado. (ADI 724 Me rel. min. Celso de Mello, j. 7-5-1992, P, DJ de 27-4-2001). </w:t>
      </w:r>
    </w:p>
    <w:p w:rsidR="00B90058" w:rsidRPr="003D0553" w:rsidRDefault="00B90058" w:rsidP="00B90058">
      <w:pPr>
        <w:spacing w:after="0" w:line="240" w:lineRule="auto"/>
        <w:ind w:left="2832" w:firstLine="1134"/>
        <w:jc w:val="both"/>
        <w:rPr>
          <w:rFonts w:ascii="Palatino Linotype" w:hAnsi="Palatino Linotype"/>
          <w:sz w:val="20"/>
          <w:szCs w:val="24"/>
        </w:rPr>
      </w:pPr>
    </w:p>
    <w:p w:rsidR="00B90058" w:rsidRPr="003D0553" w:rsidRDefault="00B90058" w:rsidP="00B90058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sz w:val="20"/>
          <w:szCs w:val="24"/>
          <w:u w:val="single"/>
        </w:rPr>
        <w:t>A norma não reserva à iniciativa privativa do Presidente da R</w:t>
      </w:r>
      <w:r w:rsidRPr="003D0553">
        <w:rPr>
          <w:rFonts w:ascii="Palatino Linotype" w:hAnsi="Palatino Linotype"/>
          <w:sz w:val="20"/>
          <w:szCs w:val="24"/>
          <w:u w:val="single"/>
        </w:rPr>
        <w:t>e</w:t>
      </w:r>
      <w:r w:rsidRPr="003D0553">
        <w:rPr>
          <w:rFonts w:ascii="Palatino Linotype" w:hAnsi="Palatino Linotype"/>
          <w:sz w:val="20"/>
          <w:szCs w:val="24"/>
          <w:u w:val="single"/>
        </w:rPr>
        <w:t>pública toda e qualquer lei que cuide de tributos</w:t>
      </w:r>
      <w:r w:rsidRPr="003D0553">
        <w:rPr>
          <w:rFonts w:ascii="Palatino Linotype" w:hAnsi="Palatino Linotype"/>
          <w:sz w:val="20"/>
          <w:szCs w:val="24"/>
        </w:rPr>
        <w:t>, senão apenas a matéria tributária dos Territórios (ARE 743.480 RCI, voto do rel. min. Gilmar Mendes, j. 10-10-2013, P, DJE de 20-11-2013, Tema 682).</w:t>
      </w:r>
    </w:p>
    <w:p w:rsidR="00FC2476" w:rsidRPr="005B428E" w:rsidRDefault="00FC2476" w:rsidP="0028136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C2476" w:rsidRPr="005B428E" w:rsidRDefault="00FC2476" w:rsidP="0028136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>Quanto à competência, não há qualquer óbice à proposta. Conforme dispõe o artigo 30, I, da Constituição Federal de 1988, “Compete aos Municípios legislar sobre assuntos de interesse local.” No mesmo sentido, o artigo 6º, II, da Lei Orgânica do Município de Guaíba refere que “Ao Município compete pr</w:t>
      </w:r>
      <w:r w:rsidRPr="005B428E">
        <w:rPr>
          <w:rFonts w:ascii="Palatino Linotype" w:hAnsi="Palatino Linotype"/>
          <w:sz w:val="24"/>
          <w:szCs w:val="24"/>
        </w:rPr>
        <w:t>o</w:t>
      </w:r>
      <w:r w:rsidRPr="005B428E">
        <w:rPr>
          <w:rFonts w:ascii="Palatino Linotype" w:hAnsi="Palatino Linotype"/>
          <w:sz w:val="24"/>
          <w:szCs w:val="24"/>
        </w:rPr>
        <w:t>ver a tudo quanto diga respeito ao seu peculiar interesse e ao bem estar de sua população, cabendo-lhe privativamente dentre outras, as seguintes atribuições: legislar sobre assunto de interesse local.”</w:t>
      </w:r>
      <w:r w:rsidR="00825041" w:rsidRPr="005B428E">
        <w:rPr>
          <w:rFonts w:ascii="Palatino Linotype" w:hAnsi="Palatino Linotype"/>
          <w:sz w:val="24"/>
          <w:szCs w:val="24"/>
        </w:rPr>
        <w:t xml:space="preserve"> A CF/88 ainda prevê, no artigo 30, III, a competência do Municípios para “instituir e arrecadar os tributos de sua competência, bem como aplicar suas rendas, sem prejuízo da obrigatoriedade de prestar contas e publicar balancetes nos prazo fixados em lei.”</w:t>
      </w:r>
    </w:p>
    <w:p w:rsidR="00EF3796" w:rsidRPr="005B428E" w:rsidRDefault="00EF3796" w:rsidP="00281368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25041" w:rsidRDefault="00261C23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>As alterações trazidas com a proposta se inserem, efetivamente, na definição de interesse local</w:t>
      </w:r>
      <w:r w:rsidR="00825041" w:rsidRPr="005B428E">
        <w:rPr>
          <w:rFonts w:ascii="Palatino Linotype" w:hAnsi="Palatino Linotype"/>
          <w:sz w:val="24"/>
          <w:szCs w:val="24"/>
        </w:rPr>
        <w:t xml:space="preserve"> e dizem respeito à arrecadação dos tributos munic</w:t>
      </w:r>
      <w:r w:rsidR="00825041" w:rsidRPr="005B428E">
        <w:rPr>
          <w:rFonts w:ascii="Palatino Linotype" w:hAnsi="Palatino Linotype"/>
          <w:sz w:val="24"/>
          <w:szCs w:val="24"/>
        </w:rPr>
        <w:t>i</w:t>
      </w:r>
      <w:r w:rsidR="00825041" w:rsidRPr="005B428E">
        <w:rPr>
          <w:rFonts w:ascii="Palatino Linotype" w:hAnsi="Palatino Linotype"/>
          <w:sz w:val="24"/>
          <w:szCs w:val="24"/>
        </w:rPr>
        <w:t>pais</w:t>
      </w:r>
      <w:r w:rsidR="00A20A99">
        <w:rPr>
          <w:rFonts w:ascii="Palatino Linotype" w:hAnsi="Palatino Linotype"/>
          <w:sz w:val="24"/>
          <w:szCs w:val="24"/>
        </w:rPr>
        <w:t>, bem como a normativas que tratam de contratação por tempo determin</w:t>
      </w:r>
      <w:r w:rsidR="00A20A99">
        <w:rPr>
          <w:rFonts w:ascii="Palatino Linotype" w:hAnsi="Palatino Linotype"/>
          <w:sz w:val="24"/>
          <w:szCs w:val="24"/>
        </w:rPr>
        <w:t>a</w:t>
      </w:r>
      <w:r w:rsidR="00A20A99">
        <w:rPr>
          <w:rFonts w:ascii="Palatino Linotype" w:hAnsi="Palatino Linotype"/>
          <w:sz w:val="24"/>
          <w:szCs w:val="24"/>
        </w:rPr>
        <w:t>do para atender a necessidade temporária de excepcional interesse público</w:t>
      </w:r>
      <w:r w:rsidR="006373EC">
        <w:rPr>
          <w:rFonts w:ascii="Palatino Linotype" w:hAnsi="Palatino Linotype"/>
          <w:sz w:val="24"/>
          <w:szCs w:val="24"/>
        </w:rPr>
        <w:t>, h</w:t>
      </w:r>
      <w:r w:rsidR="006373EC">
        <w:rPr>
          <w:rFonts w:ascii="Palatino Linotype" w:hAnsi="Palatino Linotype"/>
          <w:sz w:val="24"/>
          <w:szCs w:val="24"/>
        </w:rPr>
        <w:t>a</w:t>
      </w:r>
      <w:r w:rsidR="006373EC">
        <w:rPr>
          <w:rFonts w:ascii="Palatino Linotype" w:hAnsi="Palatino Linotype"/>
          <w:sz w:val="24"/>
          <w:szCs w:val="24"/>
        </w:rPr>
        <w:t xml:space="preserve">vendo </w:t>
      </w:r>
      <w:r w:rsidR="006373EC" w:rsidRPr="00F22392">
        <w:rPr>
          <w:rFonts w:ascii="Palatino Linotype" w:hAnsi="Palatino Linotype"/>
          <w:sz w:val="24"/>
          <w:szCs w:val="24"/>
        </w:rPr>
        <w:t xml:space="preserve">permissivo constitucional prevendo a competência dos entes municipais para </w:t>
      </w:r>
      <w:r w:rsidR="00ED5AC2" w:rsidRPr="00F22392">
        <w:rPr>
          <w:rFonts w:ascii="Palatino Linotype" w:hAnsi="Palatino Linotype"/>
          <w:sz w:val="24"/>
          <w:szCs w:val="24"/>
        </w:rPr>
        <w:t>que legislem acerca das</w:t>
      </w:r>
      <w:r w:rsidR="006373EC" w:rsidRPr="00F22392">
        <w:rPr>
          <w:rFonts w:ascii="Palatino Linotype" w:hAnsi="Palatino Linotype"/>
          <w:sz w:val="24"/>
          <w:szCs w:val="24"/>
        </w:rPr>
        <w:t xml:space="preserve"> contrataç</w:t>
      </w:r>
      <w:r w:rsidR="00ED5AC2" w:rsidRPr="00F22392">
        <w:rPr>
          <w:rFonts w:ascii="Palatino Linotype" w:hAnsi="Palatino Linotype"/>
          <w:sz w:val="24"/>
          <w:szCs w:val="24"/>
        </w:rPr>
        <w:t>ões</w:t>
      </w:r>
      <w:r w:rsidR="006373EC" w:rsidRPr="00F22392">
        <w:rPr>
          <w:rFonts w:ascii="Palatino Linotype" w:hAnsi="Palatino Linotype"/>
          <w:sz w:val="24"/>
          <w:szCs w:val="24"/>
        </w:rPr>
        <w:t xml:space="preserve"> por tempo determinado, desde que atenda</w:t>
      </w:r>
      <w:r w:rsidR="00ED5AC2" w:rsidRPr="00F22392">
        <w:rPr>
          <w:rFonts w:ascii="Palatino Linotype" w:hAnsi="Palatino Linotype"/>
          <w:sz w:val="24"/>
          <w:szCs w:val="24"/>
        </w:rPr>
        <w:t>m</w:t>
      </w:r>
      <w:r w:rsidR="006373EC" w:rsidRPr="00F22392">
        <w:rPr>
          <w:rFonts w:ascii="Palatino Linotype" w:hAnsi="Palatino Linotype"/>
          <w:sz w:val="24"/>
          <w:szCs w:val="24"/>
        </w:rPr>
        <w:t xml:space="preserve"> a necessidade temporária de excepcional interesse público</w:t>
      </w:r>
      <w:r w:rsidR="00F22392">
        <w:rPr>
          <w:rFonts w:ascii="Palatino Linotype" w:hAnsi="Palatino Linotype"/>
          <w:sz w:val="24"/>
          <w:szCs w:val="24"/>
        </w:rPr>
        <w:t xml:space="preserve"> (art. 37, IX, da Constituição da República)</w:t>
      </w:r>
      <w:r w:rsidRPr="005B428E">
        <w:rPr>
          <w:rFonts w:ascii="Palatino Linotype" w:hAnsi="Palatino Linotype"/>
          <w:sz w:val="24"/>
          <w:szCs w:val="24"/>
        </w:rPr>
        <w:t xml:space="preserve">. </w:t>
      </w:r>
    </w:p>
    <w:p w:rsidR="00581F39" w:rsidRDefault="00581F39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81F39" w:rsidRDefault="00581F39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Quanto à prorrogação dos prazos das contratações temporários por um ano, o TCE-RS em material produzido intitulado “</w:t>
      </w:r>
      <w:r w:rsidR="000232DF">
        <w:rPr>
          <w:rFonts w:ascii="Palatino Linotype" w:hAnsi="Palatino Linotype"/>
          <w:sz w:val="24"/>
          <w:szCs w:val="24"/>
        </w:rPr>
        <w:t>Perguntas e Respostas – Calamidade Pública nos Municípios do Estado do Rio Grande do Sul</w:t>
      </w:r>
      <w:r>
        <w:rPr>
          <w:rFonts w:ascii="Palatino Linotype" w:hAnsi="Palatino Linotype"/>
          <w:sz w:val="24"/>
          <w:szCs w:val="24"/>
        </w:rPr>
        <w:t xml:space="preserve">” ressalta que: </w:t>
      </w:r>
    </w:p>
    <w:p w:rsidR="00581F39" w:rsidRDefault="00581F39" w:rsidP="00581F39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81F39" w:rsidRPr="003D0553" w:rsidRDefault="00581F39" w:rsidP="00581F39">
      <w:pPr>
        <w:spacing w:after="0" w:line="240" w:lineRule="auto"/>
        <w:ind w:left="2832"/>
        <w:jc w:val="both"/>
        <w:rPr>
          <w:rFonts w:ascii="Palatino Linotype" w:hAnsi="Palatino Linotype"/>
          <w:iCs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 xml:space="preserve">A estipulação do prazo a ser fixado em lei, inclusive quanto à possibilidade de prorrogação, 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deve respeitar princípios como razoabilidade do interesse público,</w:t>
      </w:r>
      <w:r w:rsidRPr="003D0553">
        <w:rPr>
          <w:rFonts w:ascii="Palatino Linotype" w:hAnsi="Palatino Linotype"/>
          <w:iCs/>
          <w:sz w:val="20"/>
          <w:szCs w:val="24"/>
        </w:rPr>
        <w:t xml:space="preserve"> 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de modo que a duração prevista aos contratos seja justificada pela própria permanê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n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cia da situação de excepcionalidade, que deve ser avaliada p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e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la municipalidade nesse primeiro momento</w:t>
      </w:r>
      <w:r w:rsidRPr="003D0553">
        <w:rPr>
          <w:rFonts w:ascii="Palatino Linotype" w:hAnsi="Palatino Linotype"/>
          <w:iCs/>
          <w:sz w:val="20"/>
          <w:szCs w:val="24"/>
        </w:rPr>
        <w:t>.</w:t>
      </w:r>
    </w:p>
    <w:p w:rsidR="00DA0E82" w:rsidRPr="005B428E" w:rsidRDefault="00DA0E82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2456F8" w:rsidRDefault="002456F8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Deve ser observado, ainda, o disposto na Lei Eleitoral </w:t>
      </w:r>
      <w:r w:rsidR="00B04756">
        <w:rPr>
          <w:rFonts w:ascii="Palatino Linotype" w:hAnsi="Palatino Linotype"/>
          <w:sz w:val="24"/>
          <w:szCs w:val="24"/>
        </w:rPr>
        <w:t xml:space="preserve">(art. 73, V, d) </w:t>
      </w:r>
      <w:r>
        <w:rPr>
          <w:rFonts w:ascii="Palatino Linotype" w:hAnsi="Palatino Linotype"/>
          <w:sz w:val="24"/>
          <w:szCs w:val="24"/>
        </w:rPr>
        <w:t>quanto aos prazos de prorrogação</w:t>
      </w:r>
      <w:r w:rsidR="00E9425B">
        <w:rPr>
          <w:rFonts w:ascii="Palatino Linotype" w:hAnsi="Palatino Linotype"/>
          <w:sz w:val="24"/>
          <w:szCs w:val="24"/>
        </w:rPr>
        <w:t xml:space="preserve"> (</w:t>
      </w:r>
      <w:r w:rsidR="00E9425B" w:rsidRPr="00E9425B">
        <w:rPr>
          <w:rFonts w:ascii="Palatino Linotype" w:hAnsi="Palatino Linotype"/>
          <w:b/>
          <w:sz w:val="24"/>
          <w:szCs w:val="24"/>
          <w:u w:val="single"/>
        </w:rPr>
        <w:t>3 meses antes do pleito que se avizinha</w:t>
      </w:r>
      <w:r w:rsidR="00E9425B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 xml:space="preserve">, </w:t>
      </w:r>
      <w:r w:rsidRPr="00B75593">
        <w:rPr>
          <w:rFonts w:ascii="Palatino Linotype" w:hAnsi="Palatino Linotype"/>
          <w:b/>
          <w:sz w:val="24"/>
          <w:szCs w:val="24"/>
          <w:u w:val="single"/>
        </w:rPr>
        <w:t>excepcionados dos prazos limites apenas os serviços essenciais que dizem re</w:t>
      </w:r>
      <w:r w:rsidRPr="00B75593">
        <w:rPr>
          <w:rFonts w:ascii="Palatino Linotype" w:hAnsi="Palatino Linotype"/>
          <w:b/>
          <w:sz w:val="24"/>
          <w:szCs w:val="24"/>
          <w:u w:val="single"/>
        </w:rPr>
        <w:t>s</w:t>
      </w:r>
      <w:r w:rsidRPr="00B75593">
        <w:rPr>
          <w:rFonts w:ascii="Palatino Linotype" w:hAnsi="Palatino Linotype"/>
          <w:b/>
          <w:sz w:val="24"/>
          <w:szCs w:val="24"/>
          <w:u w:val="single"/>
        </w:rPr>
        <w:t>peito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D73B3D">
        <w:rPr>
          <w:rFonts w:ascii="Palatino Linotype" w:hAnsi="Palatino Linotype"/>
          <w:b/>
          <w:sz w:val="24"/>
          <w:szCs w:val="24"/>
          <w:u w:val="single"/>
        </w:rPr>
        <w:t xml:space="preserve">à </w:t>
      </w:r>
      <w:r w:rsidR="00E9425B" w:rsidRPr="00D73B3D">
        <w:rPr>
          <w:rFonts w:ascii="Palatino Linotype" w:hAnsi="Palatino Linotype"/>
          <w:b/>
          <w:sz w:val="24"/>
          <w:szCs w:val="24"/>
          <w:u w:val="single"/>
        </w:rPr>
        <w:t xml:space="preserve">sobrevivência, </w:t>
      </w:r>
      <w:r w:rsidRPr="00D73B3D">
        <w:rPr>
          <w:rFonts w:ascii="Palatino Linotype" w:hAnsi="Palatino Linotype"/>
          <w:b/>
          <w:sz w:val="24"/>
          <w:szCs w:val="24"/>
          <w:u w:val="single"/>
        </w:rPr>
        <w:t>saúde, segurança e da população</w:t>
      </w:r>
      <w:r>
        <w:rPr>
          <w:rFonts w:ascii="Palatino Linotype" w:hAnsi="Palatino Linotype"/>
          <w:sz w:val="24"/>
          <w:szCs w:val="24"/>
        </w:rPr>
        <w:t>:</w:t>
      </w:r>
    </w:p>
    <w:p w:rsidR="002456F8" w:rsidRDefault="002456F8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9425B" w:rsidRPr="003D0553" w:rsidRDefault="00E9425B" w:rsidP="00E9425B">
      <w:pPr>
        <w:spacing w:after="0" w:line="240" w:lineRule="auto"/>
        <w:ind w:left="2832"/>
        <w:jc w:val="both"/>
        <w:rPr>
          <w:rFonts w:ascii="Palatino Linotype" w:hAnsi="Palatino Linotype"/>
          <w:b/>
          <w:iCs/>
          <w:szCs w:val="24"/>
          <w:u w:val="single"/>
        </w:rPr>
      </w:pP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O conceito de "serviço público essencial" é interpretado pela jurisprudência do Tribunal Superior Eleitoral de maneira re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s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tritiva, abarcando apenas aqueles relacionados à sobrevivê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n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 xml:space="preserve">cia, saúde ou segurança da população. Exclui-se, portanto, a 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lastRenderedPageBreak/>
        <w:t>contratação de profissionais das áreas de educação e assistê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n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cia social. (Recurso Especial Eleitoral 38.704, de 13/8/2019).</w:t>
      </w:r>
    </w:p>
    <w:p w:rsidR="002456F8" w:rsidRDefault="002456F8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A0719" w:rsidRDefault="008A0719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Outrossim, a prorrogação das contratações temporárias deve estar r</w:t>
      </w:r>
      <w:r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lacionada ao fato gerador e fundamentos intrínsecos a cada necessidade temp</w:t>
      </w:r>
      <w:r>
        <w:rPr>
          <w:rFonts w:ascii="Palatino Linotype" w:hAnsi="Palatino Linotype"/>
          <w:sz w:val="24"/>
          <w:szCs w:val="24"/>
        </w:rPr>
        <w:t>o</w:t>
      </w:r>
      <w:r>
        <w:rPr>
          <w:rFonts w:ascii="Palatino Linotype" w:hAnsi="Palatino Linotype"/>
          <w:sz w:val="24"/>
          <w:szCs w:val="24"/>
        </w:rPr>
        <w:t>rária de excepcional interesse público, além de observarem os prazos do art. 218 do R</w:t>
      </w:r>
      <w:r w:rsidR="0017016F">
        <w:rPr>
          <w:rFonts w:ascii="Palatino Linotype" w:hAnsi="Palatino Linotype"/>
          <w:sz w:val="24"/>
          <w:szCs w:val="24"/>
        </w:rPr>
        <w:t xml:space="preserve">egime </w:t>
      </w:r>
      <w:r>
        <w:rPr>
          <w:rFonts w:ascii="Palatino Linotype" w:hAnsi="Palatino Linotype"/>
          <w:sz w:val="24"/>
          <w:szCs w:val="24"/>
        </w:rPr>
        <w:t>J</w:t>
      </w:r>
      <w:r w:rsidR="0017016F">
        <w:rPr>
          <w:rFonts w:ascii="Palatino Linotype" w:hAnsi="Palatino Linotype"/>
          <w:sz w:val="24"/>
          <w:szCs w:val="24"/>
        </w:rPr>
        <w:t>urídico Único</w:t>
      </w:r>
      <w:r>
        <w:rPr>
          <w:rFonts w:ascii="Palatino Linotype" w:hAnsi="Palatino Linotype"/>
          <w:sz w:val="24"/>
          <w:szCs w:val="24"/>
        </w:rPr>
        <w:t xml:space="preserve"> – Lei Municipal nº 2.586/2010</w:t>
      </w:r>
      <w:r w:rsidR="003D1B87">
        <w:rPr>
          <w:rFonts w:ascii="Palatino Linotype" w:hAnsi="Palatino Linotype"/>
          <w:sz w:val="24"/>
          <w:szCs w:val="24"/>
        </w:rPr>
        <w:t>, devendo haver a o</w:t>
      </w:r>
      <w:r w:rsidR="003D1B87">
        <w:rPr>
          <w:rFonts w:ascii="Palatino Linotype" w:hAnsi="Palatino Linotype"/>
          <w:sz w:val="24"/>
          <w:szCs w:val="24"/>
        </w:rPr>
        <w:t>b</w:t>
      </w:r>
      <w:r w:rsidR="003D1B87">
        <w:rPr>
          <w:rFonts w:ascii="Palatino Linotype" w:hAnsi="Palatino Linotype"/>
          <w:sz w:val="24"/>
          <w:szCs w:val="24"/>
        </w:rPr>
        <w:t>servância de prazos e de cada serviço</w:t>
      </w:r>
      <w:r w:rsidR="00FB719E">
        <w:rPr>
          <w:rFonts w:ascii="Palatino Linotype" w:hAnsi="Palatino Linotype"/>
          <w:sz w:val="24"/>
          <w:szCs w:val="24"/>
        </w:rPr>
        <w:t xml:space="preserve"> especificamente,</w:t>
      </w:r>
      <w:r w:rsidR="003D1B87">
        <w:rPr>
          <w:rFonts w:ascii="Palatino Linotype" w:hAnsi="Palatino Linotype"/>
          <w:sz w:val="24"/>
          <w:szCs w:val="24"/>
        </w:rPr>
        <w:t xml:space="preserve"> relaciona</w:t>
      </w:r>
      <w:r w:rsidR="00FB719E">
        <w:rPr>
          <w:rFonts w:ascii="Palatino Linotype" w:hAnsi="Palatino Linotype"/>
          <w:sz w:val="24"/>
          <w:szCs w:val="24"/>
        </w:rPr>
        <w:t>n</w:t>
      </w:r>
      <w:r w:rsidR="003D1B87">
        <w:rPr>
          <w:rFonts w:ascii="Palatino Linotype" w:hAnsi="Palatino Linotype"/>
          <w:sz w:val="24"/>
          <w:szCs w:val="24"/>
        </w:rPr>
        <w:t>do</w:t>
      </w:r>
      <w:r w:rsidR="00FB719E">
        <w:rPr>
          <w:rFonts w:ascii="Palatino Linotype" w:hAnsi="Palatino Linotype"/>
          <w:sz w:val="24"/>
          <w:szCs w:val="24"/>
        </w:rPr>
        <w:t xml:space="preserve"> e especif</w:t>
      </w:r>
      <w:r w:rsidR="00FB719E">
        <w:rPr>
          <w:rFonts w:ascii="Palatino Linotype" w:hAnsi="Palatino Linotype"/>
          <w:sz w:val="24"/>
          <w:szCs w:val="24"/>
        </w:rPr>
        <w:t>i</w:t>
      </w:r>
      <w:r w:rsidR="00FB719E">
        <w:rPr>
          <w:rFonts w:ascii="Palatino Linotype" w:hAnsi="Palatino Linotype"/>
          <w:sz w:val="24"/>
          <w:szCs w:val="24"/>
        </w:rPr>
        <w:t>cando</w:t>
      </w:r>
      <w:r w:rsidR="003D1B87">
        <w:rPr>
          <w:rFonts w:ascii="Palatino Linotype" w:hAnsi="Palatino Linotype"/>
          <w:sz w:val="24"/>
          <w:szCs w:val="24"/>
        </w:rPr>
        <w:t xml:space="preserve"> </w:t>
      </w:r>
      <w:r w:rsidR="00FB719E">
        <w:rPr>
          <w:rFonts w:ascii="Palatino Linotype" w:hAnsi="Palatino Linotype"/>
          <w:sz w:val="24"/>
          <w:szCs w:val="24"/>
        </w:rPr>
        <w:t>a</w:t>
      </w:r>
      <w:r w:rsidR="003D1B87">
        <w:rPr>
          <w:rFonts w:ascii="Palatino Linotype" w:hAnsi="Palatino Linotype"/>
          <w:sz w:val="24"/>
          <w:szCs w:val="24"/>
        </w:rPr>
        <w:t xml:space="preserve"> necessidade de contratação perante a comunidade</w:t>
      </w:r>
      <w:r w:rsidR="00FB719E">
        <w:rPr>
          <w:rFonts w:ascii="Palatino Linotype" w:hAnsi="Palatino Linotype"/>
          <w:sz w:val="24"/>
          <w:szCs w:val="24"/>
        </w:rPr>
        <w:t xml:space="preserve"> e ao Poder Legislat</w:t>
      </w:r>
      <w:r w:rsidR="00FB719E">
        <w:rPr>
          <w:rFonts w:ascii="Palatino Linotype" w:hAnsi="Palatino Linotype"/>
          <w:sz w:val="24"/>
          <w:szCs w:val="24"/>
        </w:rPr>
        <w:t>i</w:t>
      </w:r>
      <w:r w:rsidR="00FB719E">
        <w:rPr>
          <w:rFonts w:ascii="Palatino Linotype" w:hAnsi="Palatino Linotype"/>
          <w:sz w:val="24"/>
          <w:szCs w:val="24"/>
        </w:rPr>
        <w:t>vo</w:t>
      </w:r>
      <w:r>
        <w:rPr>
          <w:rFonts w:ascii="Palatino Linotype" w:hAnsi="Palatino Linotype"/>
          <w:sz w:val="24"/>
          <w:szCs w:val="24"/>
        </w:rPr>
        <w:t>.</w:t>
      </w:r>
    </w:p>
    <w:p w:rsidR="008A0719" w:rsidRDefault="008A0719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DA0E82" w:rsidRPr="005B428E" w:rsidRDefault="003E0EAC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Acerca dos benefícios de ordem tributária previstos, a</w:t>
      </w:r>
      <w:r w:rsidR="00DA0E82" w:rsidRPr="005B428E">
        <w:rPr>
          <w:rFonts w:ascii="Palatino Linotype" w:hAnsi="Palatino Linotype"/>
          <w:sz w:val="24"/>
          <w:szCs w:val="24"/>
        </w:rPr>
        <w:t xml:space="preserve"> Emenda n</w:t>
      </w:r>
      <w:r w:rsidR="00137D17" w:rsidRPr="005B428E">
        <w:rPr>
          <w:rFonts w:ascii="Palatino Linotype" w:hAnsi="Palatino Linotype"/>
          <w:sz w:val="24"/>
          <w:szCs w:val="24"/>
        </w:rPr>
        <w:t>º</w:t>
      </w:r>
      <w:r w:rsidR="00DA0E82" w:rsidRPr="005B428E">
        <w:rPr>
          <w:rFonts w:ascii="Palatino Linotype" w:hAnsi="Palatino Linotype"/>
          <w:sz w:val="24"/>
          <w:szCs w:val="24"/>
        </w:rPr>
        <w:t xml:space="preserve"> 3, de 17.3.1993, ao alterar a redação do parágrafo sexto, do artigo 150, da Constit</w:t>
      </w:r>
      <w:r w:rsidR="00DA0E82" w:rsidRPr="005B428E">
        <w:rPr>
          <w:rFonts w:ascii="Palatino Linotype" w:hAnsi="Palatino Linotype"/>
          <w:sz w:val="24"/>
          <w:szCs w:val="24"/>
        </w:rPr>
        <w:t>u</w:t>
      </w:r>
      <w:r w:rsidR="00DA0E82" w:rsidRPr="005B428E">
        <w:rPr>
          <w:rFonts w:ascii="Palatino Linotype" w:hAnsi="Palatino Linotype"/>
          <w:sz w:val="24"/>
          <w:szCs w:val="24"/>
        </w:rPr>
        <w:t>ição Federal, aperfeiçoou o texto constitucional e estendeu o princípio da legal</w:t>
      </w:r>
      <w:r w:rsidR="00DA0E82" w:rsidRPr="005B428E">
        <w:rPr>
          <w:rFonts w:ascii="Palatino Linotype" w:hAnsi="Palatino Linotype"/>
          <w:sz w:val="24"/>
          <w:szCs w:val="24"/>
        </w:rPr>
        <w:t>i</w:t>
      </w:r>
      <w:r w:rsidR="00DA0E82" w:rsidRPr="005B428E">
        <w:rPr>
          <w:rFonts w:ascii="Palatino Linotype" w:hAnsi="Palatino Linotype"/>
          <w:sz w:val="24"/>
          <w:szCs w:val="24"/>
        </w:rPr>
        <w:t>dade específica a quaisquer subsídios e causas extintivas ou excludentes do crédito tributário. Destarte, na lição precisa da Doutora Mizabel de Abreu M</w:t>
      </w:r>
      <w:r w:rsidR="00DA0E82" w:rsidRPr="005B428E">
        <w:rPr>
          <w:rFonts w:ascii="Palatino Linotype" w:hAnsi="Palatino Linotype"/>
          <w:sz w:val="24"/>
          <w:szCs w:val="24"/>
        </w:rPr>
        <w:t>a</w:t>
      </w:r>
      <w:r w:rsidR="00DA0E82" w:rsidRPr="005B428E">
        <w:rPr>
          <w:rFonts w:ascii="Palatino Linotype" w:hAnsi="Palatino Linotype"/>
          <w:sz w:val="24"/>
          <w:szCs w:val="24"/>
        </w:rPr>
        <w:t>chado Derzi, ficou consagrada a exclusividade da lei tributária para conceder quaisquer exonerações, subsídios e outros benefícios, redutores, extintivos ou excludentes do crédito tributário.</w:t>
      </w:r>
    </w:p>
    <w:p w:rsidR="00A42DF6" w:rsidRPr="005B428E" w:rsidRDefault="00A42DF6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43AC" w:rsidRPr="005B428E" w:rsidRDefault="009143AC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139F1">
        <w:rPr>
          <w:rFonts w:ascii="Palatino Linotype" w:hAnsi="Palatino Linotype"/>
          <w:b/>
          <w:sz w:val="24"/>
          <w:szCs w:val="24"/>
        </w:rPr>
        <w:t>O Código Tributário Nacional define a remissão tributária como a dispensa de pagamento de tributo devido, total ou parcial, conforme prece</w:t>
      </w:r>
      <w:r w:rsidRPr="005139F1">
        <w:rPr>
          <w:rFonts w:ascii="Palatino Linotype" w:hAnsi="Palatino Linotype"/>
          <w:b/>
          <w:sz w:val="24"/>
          <w:szCs w:val="24"/>
        </w:rPr>
        <w:t>i</w:t>
      </w:r>
      <w:r w:rsidRPr="005139F1">
        <w:rPr>
          <w:rFonts w:ascii="Palatino Linotype" w:hAnsi="Palatino Linotype"/>
          <w:b/>
          <w:sz w:val="24"/>
          <w:szCs w:val="24"/>
        </w:rPr>
        <w:t>tua o art. 172 do CTN</w:t>
      </w:r>
      <w:r w:rsidRPr="005B428E">
        <w:rPr>
          <w:rFonts w:ascii="Palatino Linotype" w:hAnsi="Palatino Linotype"/>
          <w:sz w:val="24"/>
          <w:szCs w:val="24"/>
        </w:rPr>
        <w:t>:</w:t>
      </w:r>
    </w:p>
    <w:p w:rsidR="009143AC" w:rsidRPr="005B428E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iCs/>
          <w:sz w:val="24"/>
          <w:szCs w:val="24"/>
        </w:rPr>
      </w:pP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Art. 172. A lei pode autorizar a autoridade administrativa a conceder, por despacho fundamentado, remissão total ou parc</w:t>
      </w:r>
      <w:r w:rsidRPr="003D0553">
        <w:rPr>
          <w:rFonts w:ascii="Palatino Linotype" w:hAnsi="Palatino Linotype"/>
          <w:iCs/>
          <w:sz w:val="20"/>
          <w:szCs w:val="24"/>
        </w:rPr>
        <w:t>i</w:t>
      </w:r>
      <w:r w:rsidRPr="003D0553">
        <w:rPr>
          <w:rFonts w:ascii="Palatino Linotype" w:hAnsi="Palatino Linotype"/>
          <w:iCs/>
          <w:sz w:val="20"/>
          <w:szCs w:val="24"/>
        </w:rPr>
        <w:t>al do crédito tributário, atendendo:</w:t>
      </w: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I – à situação econômica do sujeito passivo;</w:t>
      </w: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II – ao erro ou ignorância escusáveis do sujeito passivo, quanto a matéria de fato;</w:t>
      </w: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III – à diminuta importância do crédito tributário;</w:t>
      </w: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lastRenderedPageBreak/>
        <w:t>IV – a considerações de equidade, em relação com as caracterí</w:t>
      </w:r>
      <w:r w:rsidRPr="003D0553">
        <w:rPr>
          <w:rFonts w:ascii="Palatino Linotype" w:hAnsi="Palatino Linotype"/>
          <w:iCs/>
          <w:sz w:val="20"/>
          <w:szCs w:val="24"/>
        </w:rPr>
        <w:t>s</w:t>
      </w:r>
      <w:r w:rsidRPr="003D0553">
        <w:rPr>
          <w:rFonts w:ascii="Palatino Linotype" w:hAnsi="Palatino Linotype"/>
          <w:iCs/>
          <w:sz w:val="20"/>
          <w:szCs w:val="24"/>
        </w:rPr>
        <w:t>ticas pessoais ou materiais do caso;        </w:t>
      </w: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V – a condições peculiares a determinada região do território da entidade tributante.</w:t>
      </w:r>
    </w:p>
    <w:p w:rsidR="009143AC" w:rsidRPr="005B428E" w:rsidRDefault="009143AC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43AC" w:rsidRPr="005B428E" w:rsidRDefault="009143AC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4B29E4">
        <w:rPr>
          <w:rFonts w:ascii="Palatino Linotype" w:hAnsi="Palatino Linotype"/>
          <w:b/>
          <w:sz w:val="24"/>
          <w:szCs w:val="24"/>
          <w:u w:val="single"/>
        </w:rPr>
        <w:t>A Constituição Federal restringiu a disciplina da remissão e passou a exigir lei específica</w:t>
      </w:r>
      <w:r w:rsidRPr="005B428E">
        <w:rPr>
          <w:rFonts w:ascii="Palatino Linotype" w:hAnsi="Palatino Linotype"/>
          <w:sz w:val="24"/>
          <w:szCs w:val="24"/>
        </w:rPr>
        <w:t xml:space="preserve"> para evitar o oportunismo oculto em leis sobre matérias totalmente diversas, conforme se observa de seu art. 150, § 6º:</w:t>
      </w:r>
    </w:p>
    <w:p w:rsidR="009143AC" w:rsidRPr="005B428E" w:rsidRDefault="009143AC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iCs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Art. 150 (...)</w:t>
      </w:r>
    </w:p>
    <w:p w:rsidR="009143AC" w:rsidRPr="003D0553" w:rsidRDefault="009143AC" w:rsidP="009143AC">
      <w:pPr>
        <w:spacing w:after="0" w:line="240" w:lineRule="auto"/>
        <w:ind w:left="2832"/>
        <w:jc w:val="both"/>
        <w:rPr>
          <w:rFonts w:ascii="Palatino Linotype" w:hAnsi="Palatino Linotype"/>
          <w:iCs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 xml:space="preserve">§ 6º 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Qualquer subsídio ou isenção, redução de base de cálculo, concessão de crédito presumido, anistia ou remissão, relativos a impostos, taxas ou contribuições, só poderá ser concedido mediante lei específica, federal, estadual ou municipal, que regule exclusivamente as matérias acima enumeradas ou o correspondente tributo ou contribuição</w:t>
      </w:r>
      <w:r w:rsidRPr="003D0553">
        <w:rPr>
          <w:rFonts w:ascii="Palatino Linotype" w:hAnsi="Palatino Linotype"/>
          <w:iCs/>
          <w:sz w:val="20"/>
          <w:szCs w:val="24"/>
        </w:rPr>
        <w:t>, sem prejuízo do di</w:t>
      </w:r>
      <w:r w:rsidRPr="003D0553">
        <w:rPr>
          <w:rFonts w:ascii="Palatino Linotype" w:hAnsi="Palatino Linotype"/>
          <w:iCs/>
          <w:sz w:val="20"/>
          <w:szCs w:val="24"/>
        </w:rPr>
        <w:t>s</w:t>
      </w:r>
      <w:r w:rsidRPr="003D0553">
        <w:rPr>
          <w:rFonts w:ascii="Palatino Linotype" w:hAnsi="Palatino Linotype"/>
          <w:iCs/>
          <w:sz w:val="20"/>
          <w:szCs w:val="24"/>
        </w:rPr>
        <w:t>posto no art. 155, § 2.º, XII, g.         (Redação dada pela Emenda Constitucional nº 3, de 1993)</w:t>
      </w:r>
    </w:p>
    <w:p w:rsidR="009143AC" w:rsidRPr="005B428E" w:rsidRDefault="009143AC" w:rsidP="00261C2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A7F70" w:rsidRPr="00F93EAB" w:rsidRDefault="005A7F70" w:rsidP="009143AC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  <w:u w:val="single"/>
        </w:rPr>
      </w:pPr>
      <w:r w:rsidRPr="00F93EAB">
        <w:rPr>
          <w:rFonts w:ascii="Palatino Linotype" w:hAnsi="Palatino Linotype"/>
          <w:b/>
          <w:sz w:val="24"/>
          <w:szCs w:val="24"/>
          <w:u w:val="single"/>
        </w:rPr>
        <w:t>Portanto, a melhor técnica legislativa e o texto constitucional d</w:t>
      </w:r>
      <w:r w:rsidRPr="00F93EAB">
        <w:rPr>
          <w:rFonts w:ascii="Palatino Linotype" w:hAnsi="Palatino Linotype"/>
          <w:b/>
          <w:sz w:val="24"/>
          <w:szCs w:val="24"/>
          <w:u w:val="single"/>
        </w:rPr>
        <w:t>e</w:t>
      </w:r>
      <w:r w:rsidRPr="00F93EAB">
        <w:rPr>
          <w:rFonts w:ascii="Palatino Linotype" w:hAnsi="Palatino Linotype"/>
          <w:b/>
          <w:sz w:val="24"/>
          <w:szCs w:val="24"/>
          <w:u w:val="single"/>
        </w:rPr>
        <w:t xml:space="preserve">terminam que a matéria da proposta relativa à remissão do crédito tributário deveria constituir lei específica que regulasse exclusivamente a </w:t>
      </w:r>
      <w:r w:rsidR="005D36F6" w:rsidRPr="00F93EAB">
        <w:rPr>
          <w:rFonts w:ascii="Palatino Linotype" w:hAnsi="Palatino Linotype"/>
          <w:b/>
          <w:sz w:val="24"/>
          <w:szCs w:val="24"/>
          <w:u w:val="single"/>
        </w:rPr>
        <w:t>remissão do tributo</w:t>
      </w:r>
      <w:r w:rsidRPr="00F93EAB">
        <w:rPr>
          <w:rFonts w:ascii="Palatino Linotype" w:hAnsi="Palatino Linotype"/>
          <w:b/>
          <w:sz w:val="24"/>
          <w:szCs w:val="24"/>
          <w:u w:val="single"/>
        </w:rPr>
        <w:t>.</w:t>
      </w:r>
    </w:p>
    <w:p w:rsidR="005A7F70" w:rsidRDefault="005A7F70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43AC" w:rsidRPr="005B428E" w:rsidRDefault="00940D9E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>No que concerne à matéria de fundo,</w:t>
      </w:r>
      <w:r w:rsidR="00652512" w:rsidRPr="005B428E">
        <w:rPr>
          <w:rFonts w:ascii="Palatino Linotype" w:hAnsi="Palatino Linotype"/>
          <w:sz w:val="24"/>
          <w:szCs w:val="24"/>
        </w:rPr>
        <w:t xml:space="preserve"> no atual Sistema Tributário Constitucional, </w:t>
      </w:r>
      <w:r w:rsidR="00F93EAB">
        <w:rPr>
          <w:rFonts w:ascii="Palatino Linotype" w:hAnsi="Palatino Linotype"/>
          <w:sz w:val="24"/>
          <w:szCs w:val="24"/>
        </w:rPr>
        <w:t xml:space="preserve">a </w:t>
      </w:r>
      <w:r w:rsidR="004D3DB3" w:rsidRPr="005B428E">
        <w:rPr>
          <w:rFonts w:ascii="Palatino Linotype" w:hAnsi="Palatino Linotype"/>
          <w:sz w:val="24"/>
          <w:szCs w:val="24"/>
        </w:rPr>
        <w:t>remissão extingue uma obrigação existente, sendo causa de extinção do crédito tributário</w:t>
      </w:r>
      <w:r w:rsidR="00BD6A28" w:rsidRPr="005B428E">
        <w:rPr>
          <w:rFonts w:ascii="Palatino Linotype" w:hAnsi="Palatino Linotype"/>
          <w:sz w:val="24"/>
          <w:szCs w:val="24"/>
        </w:rPr>
        <w:t xml:space="preserve"> (art. 156, IV do CTN)</w:t>
      </w:r>
      <w:r w:rsidR="004D3DB3" w:rsidRPr="005B428E">
        <w:rPr>
          <w:rFonts w:ascii="Palatino Linotype" w:hAnsi="Palatino Linotype"/>
          <w:sz w:val="24"/>
          <w:szCs w:val="24"/>
        </w:rPr>
        <w:t>.</w:t>
      </w:r>
      <w:r w:rsidR="009143AC" w:rsidRPr="005B428E">
        <w:rPr>
          <w:rFonts w:ascii="Palatino Linotype" w:hAnsi="Palatino Linotype"/>
          <w:sz w:val="24"/>
          <w:szCs w:val="24"/>
        </w:rPr>
        <w:t xml:space="preserve"> A remissão é o perdão do crédito tributário decorrente da obrigação tributária principal, ou seja, a remi</w:t>
      </w:r>
      <w:r w:rsidR="009143AC" w:rsidRPr="005B428E">
        <w:rPr>
          <w:rFonts w:ascii="Palatino Linotype" w:hAnsi="Palatino Linotype"/>
          <w:sz w:val="24"/>
          <w:szCs w:val="24"/>
        </w:rPr>
        <w:t>s</w:t>
      </w:r>
      <w:r w:rsidR="009143AC" w:rsidRPr="005B428E">
        <w:rPr>
          <w:rFonts w:ascii="Palatino Linotype" w:hAnsi="Palatino Linotype"/>
          <w:sz w:val="24"/>
          <w:szCs w:val="24"/>
        </w:rPr>
        <w:t>são é hipótese de extinção do crédito tributário e refere-se a um perdão total ou parcial do crédito tributário já lançado em dívida ativa, nos termos dos arts. 156, IV e 172 do CTN.</w:t>
      </w:r>
    </w:p>
    <w:p w:rsidR="009143AC" w:rsidRPr="005B428E" w:rsidRDefault="009143AC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143AC" w:rsidRPr="005B428E" w:rsidRDefault="00770D73" w:rsidP="009143AC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2E4067">
        <w:rPr>
          <w:rFonts w:ascii="Palatino Linotype" w:hAnsi="Palatino Linotype"/>
          <w:sz w:val="24"/>
          <w:szCs w:val="24"/>
        </w:rPr>
        <w:lastRenderedPageBreak/>
        <w:t>Sendo assim, a propositura legislativa</w:t>
      </w:r>
      <w:r w:rsidR="006910A9">
        <w:rPr>
          <w:rFonts w:ascii="Palatino Linotype" w:hAnsi="Palatino Linotype"/>
          <w:b/>
          <w:sz w:val="24"/>
          <w:szCs w:val="24"/>
        </w:rPr>
        <w:t xml:space="preserve"> </w:t>
      </w:r>
      <w:r w:rsidR="009143AC" w:rsidRPr="005B428E">
        <w:rPr>
          <w:rFonts w:ascii="Palatino Linotype" w:hAnsi="Palatino Linotype"/>
          <w:sz w:val="24"/>
          <w:szCs w:val="24"/>
        </w:rPr>
        <w:t>se pode considerar uma med</w:t>
      </w:r>
      <w:r w:rsidR="009143AC" w:rsidRPr="005B428E">
        <w:rPr>
          <w:rFonts w:ascii="Palatino Linotype" w:hAnsi="Palatino Linotype"/>
          <w:sz w:val="24"/>
          <w:szCs w:val="24"/>
        </w:rPr>
        <w:t>i</w:t>
      </w:r>
      <w:r w:rsidR="009143AC" w:rsidRPr="005B428E">
        <w:rPr>
          <w:rFonts w:ascii="Palatino Linotype" w:hAnsi="Palatino Linotype"/>
          <w:sz w:val="24"/>
          <w:szCs w:val="24"/>
        </w:rPr>
        <w:t xml:space="preserve">da justa e adequada à política fiscal em tempos de </w:t>
      </w:r>
      <w:r w:rsidR="00CD28BB">
        <w:rPr>
          <w:rFonts w:ascii="Palatino Linotype" w:hAnsi="Palatino Linotype"/>
          <w:sz w:val="24"/>
          <w:szCs w:val="24"/>
        </w:rPr>
        <w:t>calamidade pública deco</w:t>
      </w:r>
      <w:r w:rsidR="00CD28BB">
        <w:rPr>
          <w:rFonts w:ascii="Palatino Linotype" w:hAnsi="Palatino Linotype"/>
          <w:sz w:val="24"/>
          <w:szCs w:val="24"/>
        </w:rPr>
        <w:t>r</w:t>
      </w:r>
      <w:r w:rsidR="00CD28BB">
        <w:rPr>
          <w:rFonts w:ascii="Palatino Linotype" w:hAnsi="Palatino Linotype"/>
          <w:sz w:val="24"/>
          <w:szCs w:val="24"/>
        </w:rPr>
        <w:t>rente dos eventos de chuvas intensas</w:t>
      </w:r>
      <w:r w:rsidR="009143AC" w:rsidRPr="005B428E">
        <w:rPr>
          <w:rFonts w:ascii="Palatino Linotype" w:hAnsi="Palatino Linotype"/>
          <w:sz w:val="24"/>
          <w:szCs w:val="24"/>
        </w:rPr>
        <w:t xml:space="preserve"> - justiça fiscal constitucionalmente asseg</w:t>
      </w:r>
      <w:r w:rsidR="009143AC" w:rsidRPr="005B428E">
        <w:rPr>
          <w:rFonts w:ascii="Palatino Linotype" w:hAnsi="Palatino Linotype"/>
          <w:sz w:val="24"/>
          <w:szCs w:val="24"/>
        </w:rPr>
        <w:t>u</w:t>
      </w:r>
      <w:r w:rsidR="009143AC" w:rsidRPr="005B428E">
        <w:rPr>
          <w:rFonts w:ascii="Palatino Linotype" w:hAnsi="Palatino Linotype"/>
          <w:sz w:val="24"/>
          <w:szCs w:val="24"/>
        </w:rPr>
        <w:t xml:space="preserve">rada. </w:t>
      </w:r>
    </w:p>
    <w:p w:rsidR="005A5B83" w:rsidRPr="005B428E" w:rsidRDefault="005A5B83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A5B83" w:rsidRPr="005B428E" w:rsidRDefault="005A5B83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>Na lição de Hugo de Brito Machado, quanto ao instituto da remissão:</w:t>
      </w:r>
    </w:p>
    <w:p w:rsidR="005A5B83" w:rsidRPr="005B428E" w:rsidRDefault="005A5B83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A5B83" w:rsidRPr="003D0553" w:rsidRDefault="005A5B83" w:rsidP="005A5B83">
      <w:pPr>
        <w:spacing w:after="0" w:line="240" w:lineRule="auto"/>
        <w:ind w:left="2832"/>
        <w:jc w:val="both"/>
        <w:rPr>
          <w:rFonts w:ascii="Palatino Linotype" w:hAnsi="Palatino Linotype"/>
          <w:iCs/>
          <w:sz w:val="20"/>
          <w:szCs w:val="24"/>
        </w:rPr>
      </w:pPr>
      <w:r w:rsidRPr="003D0553">
        <w:rPr>
          <w:rFonts w:ascii="Palatino Linotype" w:hAnsi="Palatino Linotype"/>
          <w:iCs/>
          <w:sz w:val="20"/>
          <w:szCs w:val="24"/>
        </w:rPr>
        <w:t>Por isto a remissão, no Direito Tributário, depende de expressa previsão legal. A lei é a forma pela qual o Estado pode valid</w:t>
      </w:r>
      <w:r w:rsidRPr="003D0553">
        <w:rPr>
          <w:rFonts w:ascii="Palatino Linotype" w:hAnsi="Palatino Linotype"/>
          <w:iCs/>
          <w:sz w:val="20"/>
          <w:szCs w:val="24"/>
        </w:rPr>
        <w:t>a</w:t>
      </w:r>
      <w:r w:rsidRPr="003D0553">
        <w:rPr>
          <w:rFonts w:ascii="Palatino Linotype" w:hAnsi="Palatino Linotype"/>
          <w:iCs/>
          <w:sz w:val="20"/>
          <w:szCs w:val="24"/>
        </w:rPr>
        <w:t xml:space="preserve">mente manifestar sua vontade de renunciar ao tributo. Assim, </w:t>
      </w:r>
      <w:r w:rsidRPr="003D0553">
        <w:rPr>
          <w:rFonts w:ascii="Palatino Linotype" w:hAnsi="Palatino Linotype"/>
          <w:iCs/>
          <w:sz w:val="20"/>
          <w:szCs w:val="24"/>
          <w:u w:val="single"/>
        </w:rPr>
        <w:t>se estabelece como premissa básica que o perdão da dívida tr</w:t>
      </w:r>
      <w:r w:rsidRPr="003D0553">
        <w:rPr>
          <w:rFonts w:ascii="Palatino Linotype" w:hAnsi="Palatino Linotype"/>
          <w:iCs/>
          <w:sz w:val="20"/>
          <w:szCs w:val="24"/>
          <w:u w:val="single"/>
        </w:rPr>
        <w:t>i</w:t>
      </w:r>
      <w:r w:rsidRPr="003D0553">
        <w:rPr>
          <w:rFonts w:ascii="Palatino Linotype" w:hAnsi="Palatino Linotype"/>
          <w:iCs/>
          <w:sz w:val="20"/>
          <w:szCs w:val="24"/>
          <w:u w:val="single"/>
        </w:rPr>
        <w:t xml:space="preserve">butária tem por imprescindível 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a autorização legislativa esp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e</w:t>
      </w:r>
      <w:r w:rsidRPr="003D0553">
        <w:rPr>
          <w:rFonts w:ascii="Palatino Linotype" w:hAnsi="Palatino Linotype"/>
          <w:b/>
          <w:iCs/>
          <w:sz w:val="20"/>
          <w:szCs w:val="24"/>
          <w:u w:val="single"/>
        </w:rPr>
        <w:t>cífica</w:t>
      </w:r>
      <w:r w:rsidRPr="003D0553">
        <w:rPr>
          <w:rFonts w:ascii="Palatino Linotype" w:hAnsi="Palatino Linotype"/>
          <w:iCs/>
          <w:sz w:val="20"/>
          <w:szCs w:val="24"/>
          <w:u w:val="single"/>
        </w:rPr>
        <w:t>, imposição que deflui diretamente do texto constituci</w:t>
      </w:r>
      <w:r w:rsidRPr="003D0553">
        <w:rPr>
          <w:rFonts w:ascii="Palatino Linotype" w:hAnsi="Palatino Linotype"/>
          <w:iCs/>
          <w:sz w:val="20"/>
          <w:szCs w:val="24"/>
          <w:u w:val="single"/>
        </w:rPr>
        <w:t>o</w:t>
      </w:r>
      <w:r w:rsidRPr="003D0553">
        <w:rPr>
          <w:rFonts w:ascii="Palatino Linotype" w:hAnsi="Palatino Linotype"/>
          <w:iCs/>
          <w:sz w:val="20"/>
          <w:szCs w:val="24"/>
          <w:u w:val="single"/>
        </w:rPr>
        <w:t>nal</w:t>
      </w:r>
      <w:r w:rsidRPr="003D0553">
        <w:rPr>
          <w:rFonts w:ascii="Palatino Linotype" w:hAnsi="Palatino Linotype"/>
          <w:iCs/>
          <w:sz w:val="20"/>
          <w:szCs w:val="24"/>
        </w:rPr>
        <w:t>, art. 150, § 6º, sem a qual não pode a autoridade administr</w:t>
      </w:r>
      <w:r w:rsidRPr="003D0553">
        <w:rPr>
          <w:rFonts w:ascii="Palatino Linotype" w:hAnsi="Palatino Linotype"/>
          <w:iCs/>
          <w:sz w:val="20"/>
          <w:szCs w:val="24"/>
        </w:rPr>
        <w:t>a</w:t>
      </w:r>
      <w:r w:rsidRPr="003D0553">
        <w:rPr>
          <w:rFonts w:ascii="Palatino Linotype" w:hAnsi="Palatino Linotype"/>
          <w:iCs/>
          <w:sz w:val="20"/>
          <w:szCs w:val="24"/>
        </w:rPr>
        <w:t>tiva, esponte sua, renunciar ao tributo.</w:t>
      </w:r>
    </w:p>
    <w:p w:rsidR="00D22701" w:rsidRPr="003D0553" w:rsidRDefault="00D22701" w:rsidP="00652512">
      <w:pPr>
        <w:spacing w:after="0" w:line="360" w:lineRule="auto"/>
        <w:ind w:firstLine="1134"/>
        <w:jc w:val="both"/>
        <w:rPr>
          <w:rFonts w:ascii="Palatino Linotype" w:hAnsi="Palatino Linotype"/>
          <w:szCs w:val="24"/>
        </w:rPr>
      </w:pPr>
    </w:p>
    <w:p w:rsidR="005A5B83" w:rsidRPr="005B428E" w:rsidRDefault="005A5B83" w:rsidP="005A5B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>Veja-se ainda os prejulgados deste Tribunal de Contas de Santa Cat</w:t>
      </w:r>
      <w:r w:rsidRPr="005B428E">
        <w:rPr>
          <w:rFonts w:ascii="Palatino Linotype" w:hAnsi="Palatino Linotype"/>
          <w:sz w:val="24"/>
          <w:szCs w:val="24"/>
        </w:rPr>
        <w:t>a</w:t>
      </w:r>
      <w:r w:rsidRPr="005B428E">
        <w:rPr>
          <w:rFonts w:ascii="Palatino Linotype" w:hAnsi="Palatino Linotype"/>
          <w:sz w:val="24"/>
          <w:szCs w:val="24"/>
        </w:rPr>
        <w:t>rina, que tratam do tema:</w:t>
      </w:r>
    </w:p>
    <w:p w:rsidR="003D5841" w:rsidRPr="005B428E" w:rsidRDefault="003D5841" w:rsidP="005A5B8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A5B83" w:rsidRPr="00DE1C1F" w:rsidRDefault="005A5B83" w:rsidP="005A5B83">
      <w:pPr>
        <w:spacing w:after="0" w:line="240" w:lineRule="auto"/>
        <w:ind w:left="2832"/>
        <w:jc w:val="both"/>
        <w:rPr>
          <w:rFonts w:ascii="Palatino Linotype" w:hAnsi="Palatino Linotype"/>
          <w:iCs/>
          <w:sz w:val="20"/>
          <w:szCs w:val="24"/>
        </w:rPr>
      </w:pPr>
      <w:r w:rsidRPr="00DE1C1F">
        <w:rPr>
          <w:rFonts w:ascii="Palatino Linotype" w:hAnsi="Palatino Linotype"/>
          <w:iCs/>
          <w:sz w:val="20"/>
          <w:szCs w:val="24"/>
        </w:rPr>
        <w:t>Prejulgado 1582</w:t>
      </w:r>
    </w:p>
    <w:p w:rsidR="005A5B83" w:rsidRPr="00DE1C1F" w:rsidRDefault="005A5B83" w:rsidP="005A5B83">
      <w:pPr>
        <w:spacing w:after="0" w:line="240" w:lineRule="auto"/>
        <w:ind w:left="2832"/>
        <w:jc w:val="both"/>
        <w:rPr>
          <w:rFonts w:ascii="Palatino Linotype" w:hAnsi="Palatino Linotype"/>
          <w:b/>
          <w:iCs/>
          <w:sz w:val="20"/>
          <w:szCs w:val="24"/>
        </w:rPr>
      </w:pPr>
      <w:r w:rsidRPr="00DE1C1F">
        <w:rPr>
          <w:rFonts w:ascii="Palatino Linotype" w:hAnsi="Palatino Linotype"/>
          <w:iCs/>
          <w:sz w:val="20"/>
          <w:szCs w:val="24"/>
        </w:rPr>
        <w:t>1. A anistia - por ser hipótese de exclusão do crédito tributário - somente poderá ser concedida antes do lançamento da obrig</w:t>
      </w:r>
      <w:r w:rsidRPr="00DE1C1F">
        <w:rPr>
          <w:rFonts w:ascii="Palatino Linotype" w:hAnsi="Palatino Linotype"/>
          <w:iCs/>
          <w:sz w:val="20"/>
          <w:szCs w:val="24"/>
        </w:rPr>
        <w:t>a</w:t>
      </w:r>
      <w:r w:rsidRPr="00DE1C1F">
        <w:rPr>
          <w:rFonts w:ascii="Palatino Linotype" w:hAnsi="Palatino Linotype"/>
          <w:iCs/>
          <w:sz w:val="20"/>
          <w:szCs w:val="24"/>
        </w:rPr>
        <w:t>ção tributária. Assim, esta modalidade só é aplicável caso a p</w:t>
      </w:r>
      <w:r w:rsidRPr="00DE1C1F">
        <w:rPr>
          <w:rFonts w:ascii="Palatino Linotype" w:hAnsi="Palatino Linotype"/>
          <w:iCs/>
          <w:sz w:val="20"/>
          <w:szCs w:val="24"/>
        </w:rPr>
        <w:t>e</w:t>
      </w:r>
      <w:r w:rsidRPr="00DE1C1F">
        <w:rPr>
          <w:rFonts w:ascii="Palatino Linotype" w:hAnsi="Palatino Linotype"/>
          <w:iCs/>
          <w:sz w:val="20"/>
          <w:szCs w:val="24"/>
        </w:rPr>
        <w:t>nalidade não esteja constituída como crédito tributário.</w:t>
      </w:r>
      <w:r w:rsidRPr="00DE1C1F">
        <w:rPr>
          <w:rFonts w:ascii="Palatino Linotype" w:hAnsi="Palatino Linotype"/>
          <w:iCs/>
          <w:sz w:val="20"/>
          <w:szCs w:val="24"/>
        </w:rPr>
        <w:br w:type="textWrapping" w:clear="left"/>
        <w:t xml:space="preserve">2. 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A remissão é o perdão da dívida após a constituição do cr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é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dito tributário</w:t>
      </w:r>
      <w:r w:rsidRPr="00DE1C1F">
        <w:rPr>
          <w:rFonts w:ascii="Palatino Linotype" w:hAnsi="Palatino Linotype"/>
          <w:iCs/>
          <w:sz w:val="20"/>
          <w:szCs w:val="24"/>
        </w:rPr>
        <w:t>, cuja concessão está subordinada ao atendime</w:t>
      </w:r>
      <w:r w:rsidRPr="00DE1C1F">
        <w:rPr>
          <w:rFonts w:ascii="Palatino Linotype" w:hAnsi="Palatino Linotype"/>
          <w:iCs/>
          <w:sz w:val="20"/>
          <w:szCs w:val="24"/>
        </w:rPr>
        <w:t>n</w:t>
      </w:r>
      <w:r w:rsidRPr="00DE1C1F">
        <w:rPr>
          <w:rFonts w:ascii="Palatino Linotype" w:hAnsi="Palatino Linotype"/>
          <w:iCs/>
          <w:sz w:val="20"/>
          <w:szCs w:val="24"/>
        </w:rPr>
        <w:t xml:space="preserve">to das hipóteses elencadas no art. 172, I a V, da Lei Federal nº 5.172/66 (Código Tributário Nacional - CTN). 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Esta modalidade se aplica quando a penalidade estiver constituída como créd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i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to tributário,</w:t>
      </w:r>
      <w:r w:rsidRPr="00DE1C1F">
        <w:rPr>
          <w:rFonts w:ascii="Palatino Linotype" w:hAnsi="Palatino Linotype"/>
          <w:b/>
          <w:iCs/>
          <w:sz w:val="20"/>
          <w:szCs w:val="24"/>
        </w:rPr>
        <w:t xml:space="preserve"> </w:t>
      </w:r>
      <w:r w:rsidRPr="00DE1C1F">
        <w:rPr>
          <w:rFonts w:ascii="Palatino Linotype" w:hAnsi="Palatino Linotype"/>
          <w:b/>
          <w:iCs/>
          <w:sz w:val="20"/>
          <w:szCs w:val="24"/>
          <w:u w:val="single"/>
        </w:rPr>
        <w:t>ou seja, depois de lançada.</w:t>
      </w:r>
    </w:p>
    <w:p w:rsidR="005A5B83" w:rsidRPr="005B428E" w:rsidRDefault="005A5B83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A5B83" w:rsidRPr="005B428E" w:rsidRDefault="00127F27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Portanto, para que seja </w:t>
      </w:r>
      <w:r w:rsidRPr="005B428E">
        <w:rPr>
          <w:rFonts w:ascii="Palatino Linotype" w:hAnsi="Palatino Linotype"/>
          <w:sz w:val="24"/>
          <w:szCs w:val="24"/>
        </w:rPr>
        <w:t>possível a aplicação do instituto da remissão tributária</w:t>
      </w:r>
      <w:r>
        <w:rPr>
          <w:rFonts w:ascii="Palatino Linotype" w:hAnsi="Palatino Linotype"/>
          <w:sz w:val="24"/>
          <w:szCs w:val="24"/>
        </w:rPr>
        <w:t>, o</w:t>
      </w:r>
      <w:r w:rsidR="003D5841" w:rsidRPr="005B428E">
        <w:rPr>
          <w:rFonts w:ascii="Palatino Linotype" w:hAnsi="Palatino Linotype"/>
          <w:sz w:val="24"/>
          <w:szCs w:val="24"/>
        </w:rPr>
        <w:t xml:space="preserve"> crédito tributário relativo ao IPTU já </w:t>
      </w:r>
      <w:r>
        <w:rPr>
          <w:rFonts w:ascii="Palatino Linotype" w:hAnsi="Palatino Linotype"/>
          <w:sz w:val="24"/>
          <w:szCs w:val="24"/>
        </w:rPr>
        <w:t>deve ter sido</w:t>
      </w:r>
      <w:r w:rsidR="003D5841" w:rsidRPr="005B428E">
        <w:rPr>
          <w:rFonts w:ascii="Palatino Linotype" w:hAnsi="Palatino Linotype"/>
          <w:sz w:val="24"/>
          <w:szCs w:val="24"/>
        </w:rPr>
        <w:t xml:space="preserve"> devidamente lançado</w:t>
      </w:r>
      <w:r>
        <w:rPr>
          <w:rFonts w:ascii="Palatino Linotype" w:hAnsi="Palatino Linotype"/>
          <w:sz w:val="24"/>
          <w:szCs w:val="24"/>
        </w:rPr>
        <w:t>.</w:t>
      </w:r>
      <w:r w:rsidR="003D5841" w:rsidRPr="005B428E">
        <w:rPr>
          <w:rFonts w:ascii="Palatino Linotype" w:hAnsi="Palatino Linotype"/>
          <w:sz w:val="24"/>
          <w:szCs w:val="24"/>
        </w:rPr>
        <w:t xml:space="preserve"> </w:t>
      </w:r>
    </w:p>
    <w:p w:rsidR="005A5B83" w:rsidRPr="005B428E" w:rsidRDefault="005A5B83" w:rsidP="0065251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534D1" w:rsidRPr="005B428E" w:rsidRDefault="00E8506E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lastRenderedPageBreak/>
        <w:t>Via de regra</w:t>
      </w:r>
      <w:r w:rsidR="006C0B7C" w:rsidRPr="005B428E">
        <w:rPr>
          <w:rFonts w:ascii="Palatino Linotype" w:hAnsi="Palatino Linotype"/>
          <w:sz w:val="24"/>
          <w:szCs w:val="24"/>
        </w:rPr>
        <w:t>, diante do que determina LRF, para que não haja obst</w:t>
      </w:r>
      <w:r w:rsidR="006C0B7C" w:rsidRPr="005B428E">
        <w:rPr>
          <w:rFonts w:ascii="Palatino Linotype" w:hAnsi="Palatino Linotype"/>
          <w:sz w:val="24"/>
          <w:szCs w:val="24"/>
        </w:rPr>
        <w:t>á</w:t>
      </w:r>
      <w:r w:rsidR="006C0B7C" w:rsidRPr="005B428E">
        <w:rPr>
          <w:rFonts w:ascii="Palatino Linotype" w:hAnsi="Palatino Linotype"/>
          <w:sz w:val="24"/>
          <w:szCs w:val="24"/>
        </w:rPr>
        <w:t xml:space="preserve">culos materiais ou formais </w:t>
      </w:r>
      <w:r w:rsidRPr="005B428E">
        <w:rPr>
          <w:rFonts w:ascii="Palatino Linotype" w:hAnsi="Palatino Linotype"/>
          <w:sz w:val="24"/>
          <w:szCs w:val="24"/>
        </w:rPr>
        <w:t>a tais propostas</w:t>
      </w:r>
      <w:r w:rsidR="00F517D4" w:rsidRPr="005B428E">
        <w:rPr>
          <w:rFonts w:ascii="Palatino Linotype" w:hAnsi="Palatino Linotype"/>
          <w:sz w:val="24"/>
          <w:szCs w:val="24"/>
        </w:rPr>
        <w:t>,</w:t>
      </w:r>
      <w:r w:rsidRPr="005B428E">
        <w:rPr>
          <w:rFonts w:ascii="Palatino Linotype" w:hAnsi="Palatino Linotype"/>
          <w:sz w:val="24"/>
          <w:szCs w:val="24"/>
        </w:rPr>
        <w:t xml:space="preserve"> em situações normais</w:t>
      </w:r>
      <w:r w:rsidR="00002FE6">
        <w:rPr>
          <w:rFonts w:ascii="Palatino Linotype" w:hAnsi="Palatino Linotype"/>
          <w:sz w:val="24"/>
          <w:szCs w:val="24"/>
        </w:rPr>
        <w:t>,</w:t>
      </w:r>
      <w:r w:rsidR="00F517D4" w:rsidRPr="005B428E">
        <w:rPr>
          <w:rFonts w:ascii="Palatino Linotype" w:hAnsi="Palatino Linotype"/>
          <w:sz w:val="24"/>
          <w:szCs w:val="24"/>
        </w:rPr>
        <w:t xml:space="preserve"> </w:t>
      </w:r>
      <w:r w:rsidR="006C0B7C" w:rsidRPr="005B428E">
        <w:rPr>
          <w:rFonts w:ascii="Palatino Linotype" w:hAnsi="Palatino Linotype"/>
          <w:sz w:val="24"/>
          <w:szCs w:val="24"/>
        </w:rPr>
        <w:t>deve</w:t>
      </w:r>
      <w:r w:rsidRPr="005B428E">
        <w:rPr>
          <w:rFonts w:ascii="Palatino Linotype" w:hAnsi="Palatino Linotype"/>
          <w:sz w:val="24"/>
          <w:szCs w:val="24"/>
        </w:rPr>
        <w:t>ria</w:t>
      </w:r>
      <w:r w:rsidR="006C0B7C" w:rsidRPr="005B428E">
        <w:rPr>
          <w:rFonts w:ascii="Palatino Linotype" w:hAnsi="Palatino Linotype"/>
          <w:sz w:val="24"/>
          <w:szCs w:val="24"/>
        </w:rPr>
        <w:t xml:space="preserve"> ser apresentado</w:t>
      </w:r>
      <w:r w:rsidR="00F517D4" w:rsidRPr="005B428E">
        <w:rPr>
          <w:rFonts w:ascii="Palatino Linotype" w:hAnsi="Palatino Linotype"/>
          <w:sz w:val="24"/>
          <w:szCs w:val="24"/>
        </w:rPr>
        <w:t xml:space="preserve"> estudo de impacto </w:t>
      </w:r>
      <w:r w:rsidR="000D379C" w:rsidRPr="005B428E">
        <w:rPr>
          <w:rFonts w:ascii="Palatino Linotype" w:hAnsi="Palatino Linotype"/>
          <w:sz w:val="24"/>
          <w:szCs w:val="24"/>
        </w:rPr>
        <w:t>orçamentário e financeiro contemplando as ex</w:t>
      </w:r>
      <w:r w:rsidR="000D379C" w:rsidRPr="005B428E">
        <w:rPr>
          <w:rFonts w:ascii="Palatino Linotype" w:hAnsi="Palatino Linotype"/>
          <w:sz w:val="24"/>
          <w:szCs w:val="24"/>
        </w:rPr>
        <w:t>i</w:t>
      </w:r>
      <w:r w:rsidR="000D379C" w:rsidRPr="005B428E">
        <w:rPr>
          <w:rFonts w:ascii="Palatino Linotype" w:hAnsi="Palatino Linotype"/>
          <w:sz w:val="24"/>
          <w:szCs w:val="24"/>
        </w:rPr>
        <w:t>gências do artigo 14 da Lei de Responsabilidade Fiscal (Lei Complementar F</w:t>
      </w:r>
      <w:r w:rsidR="000D379C" w:rsidRPr="005B428E">
        <w:rPr>
          <w:rFonts w:ascii="Palatino Linotype" w:hAnsi="Palatino Linotype"/>
          <w:sz w:val="24"/>
          <w:szCs w:val="24"/>
        </w:rPr>
        <w:t>e</w:t>
      </w:r>
      <w:r w:rsidR="000D379C" w:rsidRPr="005B428E">
        <w:rPr>
          <w:rFonts w:ascii="Palatino Linotype" w:hAnsi="Palatino Linotype"/>
          <w:sz w:val="24"/>
          <w:szCs w:val="24"/>
        </w:rPr>
        <w:t>deral nº 101/00).</w:t>
      </w:r>
    </w:p>
    <w:p w:rsidR="00E8506E" w:rsidRPr="005B428E" w:rsidRDefault="00E8506E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D5980" w:rsidRPr="005B428E" w:rsidRDefault="009D5980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 xml:space="preserve">Ocorre que a Emenda Constitucional nº 109, de 15 de março de 2021, acrescentou o art. 167-D à Constituição Federal, </w:t>
      </w:r>
      <w:r w:rsidRPr="005B428E">
        <w:rPr>
          <w:rFonts w:ascii="Palatino Linotype" w:hAnsi="Palatino Linotype"/>
          <w:sz w:val="24"/>
          <w:szCs w:val="24"/>
          <w:u w:val="single"/>
        </w:rPr>
        <w:t>flexibilizando e afastando as exigências da Lei de Responsabilidade Fiscal nos casos das proposições legisl</w:t>
      </w:r>
      <w:r w:rsidRPr="005B428E">
        <w:rPr>
          <w:rFonts w:ascii="Palatino Linotype" w:hAnsi="Palatino Linotype"/>
          <w:sz w:val="24"/>
          <w:szCs w:val="24"/>
          <w:u w:val="single"/>
        </w:rPr>
        <w:t>a</w:t>
      </w:r>
      <w:r w:rsidRPr="005B428E">
        <w:rPr>
          <w:rFonts w:ascii="Palatino Linotype" w:hAnsi="Palatino Linotype"/>
          <w:sz w:val="24"/>
          <w:szCs w:val="24"/>
          <w:u w:val="single"/>
        </w:rPr>
        <w:t>tivas se exclusivamente com objetivo de enfrentamento de calamidade se vig</w:t>
      </w:r>
      <w:r w:rsidRPr="005B428E">
        <w:rPr>
          <w:rFonts w:ascii="Palatino Linotype" w:hAnsi="Palatino Linotype"/>
          <w:sz w:val="24"/>
          <w:szCs w:val="24"/>
          <w:u w:val="single"/>
        </w:rPr>
        <w:t>o</w:t>
      </w:r>
      <w:r w:rsidRPr="005B428E">
        <w:rPr>
          <w:rFonts w:ascii="Palatino Linotype" w:hAnsi="Palatino Linotype"/>
          <w:sz w:val="24"/>
          <w:szCs w:val="24"/>
          <w:u w:val="single"/>
        </w:rPr>
        <w:t>rarem e tiverem efeitos restritos à duração da calamidade</w:t>
      </w:r>
      <w:r w:rsidRPr="005B428E">
        <w:rPr>
          <w:rFonts w:ascii="Palatino Linotype" w:hAnsi="Palatino Linotype"/>
          <w:sz w:val="24"/>
          <w:szCs w:val="24"/>
        </w:rPr>
        <w:t>:</w:t>
      </w:r>
    </w:p>
    <w:p w:rsidR="009D5980" w:rsidRPr="005B428E" w:rsidRDefault="009D5980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D5980" w:rsidRPr="00DE1C1F" w:rsidRDefault="009D5980" w:rsidP="00AA1F55">
      <w:pPr>
        <w:spacing w:after="0" w:line="240" w:lineRule="auto"/>
        <w:ind w:left="2832"/>
        <w:jc w:val="both"/>
        <w:rPr>
          <w:rFonts w:ascii="Palatino Linotype" w:hAnsi="Palatino Linotype"/>
          <w:b/>
          <w:bCs/>
          <w:sz w:val="20"/>
          <w:szCs w:val="24"/>
        </w:rPr>
      </w:pPr>
      <w:r w:rsidRPr="00DE1C1F">
        <w:rPr>
          <w:rFonts w:ascii="Palatino Linotype" w:hAnsi="Palatino Linotype"/>
          <w:sz w:val="20"/>
          <w:szCs w:val="24"/>
        </w:rPr>
        <w:t>Art. 167-D. </w:t>
      </w:r>
      <w:r w:rsidRPr="00DE1C1F">
        <w:rPr>
          <w:rFonts w:ascii="Palatino Linotype" w:hAnsi="Palatino Linotype"/>
          <w:b/>
          <w:bCs/>
          <w:sz w:val="20"/>
          <w:szCs w:val="24"/>
        </w:rPr>
        <w:t>As proposições legislativas</w:t>
      </w:r>
      <w:r w:rsidRPr="00DE1C1F">
        <w:rPr>
          <w:rFonts w:ascii="Palatino Linotype" w:hAnsi="Palatino Linotype"/>
          <w:sz w:val="20"/>
          <w:szCs w:val="24"/>
        </w:rPr>
        <w:t> e os atos do Poder Ex</w:t>
      </w:r>
      <w:r w:rsidRPr="00DE1C1F">
        <w:rPr>
          <w:rFonts w:ascii="Palatino Linotype" w:hAnsi="Palatino Linotype"/>
          <w:sz w:val="20"/>
          <w:szCs w:val="24"/>
        </w:rPr>
        <w:t>e</w:t>
      </w:r>
      <w:r w:rsidRPr="00DE1C1F">
        <w:rPr>
          <w:rFonts w:ascii="Palatino Linotype" w:hAnsi="Palatino Linotype"/>
          <w:sz w:val="20"/>
          <w:szCs w:val="24"/>
        </w:rPr>
        <w:t>cutivo </w:t>
      </w:r>
      <w:r w:rsidRPr="00DE1C1F">
        <w:rPr>
          <w:rFonts w:ascii="Palatino Linotype" w:hAnsi="Palatino Linotype"/>
          <w:b/>
          <w:bCs/>
          <w:sz w:val="20"/>
          <w:szCs w:val="24"/>
        </w:rPr>
        <w:t>com propósito exclusivo de enfrentar a calamidade e suas consequências sociais e econômicas, com vigência e efe</w:t>
      </w:r>
      <w:r w:rsidRPr="00DE1C1F">
        <w:rPr>
          <w:rFonts w:ascii="Palatino Linotype" w:hAnsi="Palatino Linotype"/>
          <w:b/>
          <w:bCs/>
          <w:sz w:val="20"/>
          <w:szCs w:val="24"/>
        </w:rPr>
        <w:t>i</w:t>
      </w:r>
      <w:r w:rsidRPr="00DE1C1F">
        <w:rPr>
          <w:rFonts w:ascii="Palatino Linotype" w:hAnsi="Palatino Linotype"/>
          <w:b/>
          <w:bCs/>
          <w:sz w:val="20"/>
          <w:szCs w:val="24"/>
        </w:rPr>
        <w:t xml:space="preserve">tos restritos à sua duração, desde que não impliquem despesa obrigatória de caráter continuado, 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ficam dispensados da o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b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servância das limitações legais quanto à criação, à expansão ou ao aperfeiçoamento de ação governamental que acarrete aumento de despesa e à concessão ou à ampliação de incent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i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vo ou benefício de natureza tributária da qual decorra renú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n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cia de receita.</w:t>
      </w:r>
    </w:p>
    <w:p w:rsidR="009D5980" w:rsidRPr="005B428E" w:rsidRDefault="009D5980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D5980" w:rsidRDefault="009D5980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 xml:space="preserve">Diante desse fundamento, seria admissível o afastamento da norma constante do art. 14, da LRF, concedendo benefício tributário ao contribuinte sem o devido impacto, </w:t>
      </w:r>
      <w:r w:rsidR="00002FE6">
        <w:rPr>
          <w:rFonts w:ascii="Palatino Linotype" w:hAnsi="Palatino Linotype"/>
          <w:sz w:val="24"/>
          <w:szCs w:val="24"/>
        </w:rPr>
        <w:t>visto que</w:t>
      </w:r>
      <w:r w:rsidRPr="005B428E">
        <w:rPr>
          <w:rFonts w:ascii="Palatino Linotype" w:hAnsi="Palatino Linotype"/>
          <w:sz w:val="24"/>
          <w:szCs w:val="24"/>
        </w:rPr>
        <w:t xml:space="preserve"> comprovadamente se trata de medida de e</w:t>
      </w:r>
      <w:r w:rsidRPr="005B428E">
        <w:rPr>
          <w:rFonts w:ascii="Palatino Linotype" w:hAnsi="Palatino Linotype"/>
          <w:sz w:val="24"/>
          <w:szCs w:val="24"/>
        </w:rPr>
        <w:t>n</w:t>
      </w:r>
      <w:r w:rsidRPr="005B428E">
        <w:rPr>
          <w:rFonts w:ascii="Palatino Linotype" w:hAnsi="Palatino Linotype"/>
          <w:sz w:val="24"/>
          <w:szCs w:val="24"/>
        </w:rPr>
        <w:t xml:space="preserve">frentamento </w:t>
      </w:r>
      <w:r w:rsidR="00002FE6">
        <w:rPr>
          <w:rFonts w:ascii="Palatino Linotype" w:hAnsi="Palatino Linotype"/>
          <w:sz w:val="24"/>
          <w:szCs w:val="24"/>
        </w:rPr>
        <w:t>das conseqüências sociais e econômicas do desastre e</w:t>
      </w:r>
      <w:r w:rsidRPr="005B428E">
        <w:rPr>
          <w:rFonts w:ascii="Palatino Linotype" w:hAnsi="Palatino Linotype"/>
          <w:sz w:val="24"/>
          <w:szCs w:val="24"/>
        </w:rPr>
        <w:t xml:space="preserve"> com vigência e efeitos restritos à duração da calamidade</w:t>
      </w:r>
      <w:r w:rsidR="002856E6">
        <w:rPr>
          <w:rFonts w:ascii="Palatino Linotype" w:hAnsi="Palatino Linotype"/>
          <w:sz w:val="24"/>
          <w:szCs w:val="24"/>
        </w:rPr>
        <w:t xml:space="preserve"> pública</w:t>
      </w:r>
      <w:r w:rsidRPr="005B428E">
        <w:rPr>
          <w:rFonts w:ascii="Palatino Linotype" w:hAnsi="Palatino Linotype"/>
          <w:sz w:val="24"/>
          <w:szCs w:val="24"/>
        </w:rPr>
        <w:t>.</w:t>
      </w:r>
    </w:p>
    <w:p w:rsidR="004A566F" w:rsidRDefault="004A566F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A566F" w:rsidRDefault="004A566F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Ademais, em se tratando</w:t>
      </w:r>
      <w:r w:rsidRPr="004A566F">
        <w:rPr>
          <w:rFonts w:ascii="Palatino Linotype" w:hAnsi="Palatino Linotype"/>
          <w:sz w:val="24"/>
          <w:szCs w:val="24"/>
        </w:rPr>
        <w:t xml:space="preserve"> de calamidade pública reconhecida pelo Congresso Nacional, ainda que em parte do território nacional, o ar</w:t>
      </w:r>
      <w:r>
        <w:rPr>
          <w:rFonts w:ascii="Palatino Linotype" w:hAnsi="Palatino Linotype"/>
          <w:sz w:val="24"/>
          <w:szCs w:val="24"/>
        </w:rPr>
        <w:t>t.</w:t>
      </w:r>
      <w:r w:rsidRPr="004A566F">
        <w:rPr>
          <w:rFonts w:ascii="Palatino Linotype" w:hAnsi="Palatino Linotype"/>
          <w:sz w:val="24"/>
          <w:szCs w:val="24"/>
        </w:rPr>
        <w:t xml:space="preserve"> 65, § 1º, III, do </w:t>
      </w:r>
      <w:r>
        <w:rPr>
          <w:rFonts w:ascii="Palatino Linotype" w:hAnsi="Palatino Linotype"/>
          <w:sz w:val="24"/>
          <w:szCs w:val="24"/>
        </w:rPr>
        <w:t>dispositivo constitucional</w:t>
      </w:r>
      <w:r w:rsidRPr="004A566F">
        <w:rPr>
          <w:rFonts w:ascii="Palatino Linotype" w:hAnsi="Palatino Linotype"/>
          <w:sz w:val="24"/>
          <w:szCs w:val="24"/>
        </w:rPr>
        <w:t xml:space="preserve"> excepciona o cumprimento das condições previ</w:t>
      </w:r>
      <w:r w:rsidRPr="004A566F">
        <w:rPr>
          <w:rFonts w:ascii="Palatino Linotype" w:hAnsi="Palatino Linotype"/>
          <w:sz w:val="24"/>
          <w:szCs w:val="24"/>
        </w:rPr>
        <w:t>s</w:t>
      </w:r>
      <w:r w:rsidRPr="004A566F">
        <w:rPr>
          <w:rFonts w:ascii="Palatino Linotype" w:hAnsi="Palatino Linotype"/>
          <w:sz w:val="24"/>
          <w:szCs w:val="24"/>
        </w:rPr>
        <w:lastRenderedPageBreak/>
        <w:t>tas no ar</w:t>
      </w:r>
      <w:r>
        <w:rPr>
          <w:rFonts w:ascii="Palatino Linotype" w:hAnsi="Palatino Linotype"/>
          <w:sz w:val="24"/>
          <w:szCs w:val="24"/>
        </w:rPr>
        <w:t>ti</w:t>
      </w:r>
      <w:r w:rsidRPr="004A566F">
        <w:rPr>
          <w:rFonts w:ascii="Palatino Linotype" w:hAnsi="Palatino Linotype"/>
          <w:sz w:val="24"/>
          <w:szCs w:val="24"/>
        </w:rPr>
        <w:t>go 14, desde que o bene</w:t>
      </w:r>
      <w:r>
        <w:rPr>
          <w:rFonts w:ascii="Palatino Linotype" w:hAnsi="Palatino Linotype"/>
          <w:sz w:val="24"/>
          <w:szCs w:val="24"/>
        </w:rPr>
        <w:t>fí</w:t>
      </w:r>
      <w:r w:rsidRPr="004A566F">
        <w:rPr>
          <w:rFonts w:ascii="Palatino Linotype" w:hAnsi="Palatino Linotype"/>
          <w:sz w:val="24"/>
          <w:szCs w:val="24"/>
        </w:rPr>
        <w:t>cio seja des</w:t>
      </w:r>
      <w:r>
        <w:rPr>
          <w:rFonts w:ascii="Palatino Linotype" w:hAnsi="Palatino Linotype"/>
          <w:sz w:val="24"/>
          <w:szCs w:val="24"/>
        </w:rPr>
        <w:t>ti</w:t>
      </w:r>
      <w:r w:rsidRPr="004A566F">
        <w:rPr>
          <w:rFonts w:ascii="Palatino Linotype" w:hAnsi="Palatino Linotype"/>
          <w:sz w:val="24"/>
          <w:szCs w:val="24"/>
        </w:rPr>
        <w:t>nado ao combate à calamidade públi</w:t>
      </w:r>
      <w:r>
        <w:rPr>
          <w:rFonts w:ascii="Palatino Linotype" w:hAnsi="Palatino Linotype"/>
          <w:sz w:val="24"/>
          <w:szCs w:val="24"/>
        </w:rPr>
        <w:t>ca:</w:t>
      </w:r>
      <w:r w:rsidRPr="004A566F">
        <w:rPr>
          <w:rFonts w:ascii="Palatino Linotype" w:hAnsi="Palatino Linotype"/>
          <w:sz w:val="24"/>
          <w:szCs w:val="24"/>
        </w:rPr>
        <w:t xml:space="preserve"> </w:t>
      </w:r>
    </w:p>
    <w:p w:rsidR="004A566F" w:rsidRPr="004A566F" w:rsidRDefault="004A566F" w:rsidP="004A566F">
      <w:pPr>
        <w:spacing w:after="0" w:line="240" w:lineRule="auto"/>
        <w:ind w:left="2832"/>
        <w:jc w:val="both"/>
        <w:rPr>
          <w:rFonts w:ascii="Palatino Linotype" w:hAnsi="Palatino Linotype"/>
          <w:b/>
          <w:bCs/>
          <w:sz w:val="24"/>
          <w:szCs w:val="24"/>
          <w:u w:val="single"/>
        </w:rPr>
      </w:pPr>
    </w:p>
    <w:p w:rsidR="004A566F" w:rsidRPr="00DE1C1F" w:rsidRDefault="004A566F" w:rsidP="004A566F">
      <w:pPr>
        <w:spacing w:after="0" w:line="240" w:lineRule="auto"/>
        <w:ind w:left="2832"/>
        <w:jc w:val="both"/>
        <w:rPr>
          <w:rFonts w:ascii="Palatino Linotype" w:hAnsi="Palatino Linotype"/>
          <w:b/>
          <w:bCs/>
          <w:sz w:val="20"/>
          <w:szCs w:val="24"/>
          <w:u w:val="single"/>
        </w:rPr>
      </w:pP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Art. 65. Na ocorrência de calamidade pública reconhecida pelo Congresso Nacional, no caso da União, ou pelas Assembleias Legisla vas, na hipótese dos Estados e Municípios, enquanto perdurar a situação: [...] § 1º Na ocorrência de calamidade p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ú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blica reconhecida pelo Congresso Nacional, nos termos de d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e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creto legisla vo, em parte ou na integralidade do território n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a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cional e enquanto perdurar a situação, além do previsto nos incisos I e II do caput: [...] III - serão afastadas as condições e as vedações previstas nos arts. 14, 16 e 17 desta Lei Compl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e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mentar, desde que o incentivo ou benefício e a criação ou o aumento da despesa sejam destinados ao combate à calam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i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 xml:space="preserve">dade pública. </w:t>
      </w:r>
    </w:p>
    <w:p w:rsidR="004A566F" w:rsidRDefault="004A566F" w:rsidP="004A566F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u w:val="single"/>
        </w:rPr>
      </w:pPr>
    </w:p>
    <w:p w:rsidR="004A566F" w:rsidRDefault="004A566F" w:rsidP="004A56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Com efeito</w:t>
      </w:r>
      <w:r w:rsidRPr="004A566F">
        <w:rPr>
          <w:rFonts w:ascii="Palatino Linotype" w:hAnsi="Palatino Linotype"/>
          <w:sz w:val="24"/>
          <w:szCs w:val="24"/>
        </w:rPr>
        <w:t xml:space="preserve">, o Decreto </w:t>
      </w:r>
      <w:r>
        <w:rPr>
          <w:rFonts w:ascii="Palatino Linotype" w:hAnsi="Palatino Linotype"/>
          <w:sz w:val="24"/>
          <w:szCs w:val="24"/>
        </w:rPr>
        <w:t>L</w:t>
      </w:r>
      <w:r w:rsidRPr="004A566F">
        <w:rPr>
          <w:rFonts w:ascii="Palatino Linotype" w:hAnsi="Palatino Linotype"/>
          <w:sz w:val="24"/>
          <w:szCs w:val="24"/>
        </w:rPr>
        <w:t>egisla</w:t>
      </w:r>
      <w:r>
        <w:rPr>
          <w:rFonts w:ascii="Palatino Linotype" w:hAnsi="Palatino Linotype"/>
          <w:sz w:val="24"/>
          <w:szCs w:val="24"/>
        </w:rPr>
        <w:t>ti</w:t>
      </w:r>
      <w:r w:rsidRPr="004A566F">
        <w:rPr>
          <w:rFonts w:ascii="Palatino Linotype" w:hAnsi="Palatino Linotype"/>
          <w:sz w:val="24"/>
          <w:szCs w:val="24"/>
        </w:rPr>
        <w:t>vo nº 36, de 7 de maio de 20</w:t>
      </w:r>
      <w:r>
        <w:rPr>
          <w:rFonts w:ascii="Palatino Linotype" w:hAnsi="Palatino Linotype"/>
          <w:sz w:val="24"/>
          <w:szCs w:val="24"/>
        </w:rPr>
        <w:t>24</w:t>
      </w:r>
      <w:r w:rsidRPr="004A566F">
        <w:rPr>
          <w:rFonts w:ascii="Palatino Linotype" w:hAnsi="Palatino Linotype"/>
          <w:sz w:val="24"/>
          <w:szCs w:val="24"/>
        </w:rPr>
        <w:t>, apr</w:t>
      </w:r>
      <w:r w:rsidRPr="004A566F">
        <w:rPr>
          <w:rFonts w:ascii="Palatino Linotype" w:hAnsi="Palatino Linotype"/>
          <w:sz w:val="24"/>
          <w:szCs w:val="24"/>
        </w:rPr>
        <w:t>o</w:t>
      </w:r>
      <w:r w:rsidRPr="004A566F">
        <w:rPr>
          <w:rFonts w:ascii="Palatino Linotype" w:hAnsi="Palatino Linotype"/>
          <w:sz w:val="24"/>
          <w:szCs w:val="24"/>
        </w:rPr>
        <w:t>vado pelo Congresso Nacional, reconheceu, para os fins do disposto no artigo 65 da Lei Complementar nº 101, de 4 de maio de 2000 (Lei de Responsabilidade Fiscal), a ocorrência do estado de calamidade pública em parte do território n</w:t>
      </w:r>
      <w:r w:rsidRPr="004A566F">
        <w:rPr>
          <w:rFonts w:ascii="Palatino Linotype" w:hAnsi="Palatino Linotype"/>
          <w:sz w:val="24"/>
          <w:szCs w:val="24"/>
        </w:rPr>
        <w:t>a</w:t>
      </w:r>
      <w:r w:rsidRPr="004A566F">
        <w:rPr>
          <w:rFonts w:ascii="Palatino Linotype" w:hAnsi="Palatino Linotype"/>
          <w:sz w:val="24"/>
          <w:szCs w:val="24"/>
        </w:rPr>
        <w:t>cional, para atendimento às consequências derivadas de eventos climáticos no Estado do Rio Grande do Sul</w:t>
      </w:r>
      <w:r>
        <w:rPr>
          <w:rFonts w:ascii="Palatino Linotype" w:hAnsi="Palatino Linotype"/>
          <w:sz w:val="24"/>
          <w:szCs w:val="24"/>
        </w:rPr>
        <w:t xml:space="preserve"> - </w:t>
      </w:r>
      <w:hyperlink r:id="rId8" w:history="1">
        <w:r w:rsidRPr="001A6CB4">
          <w:rPr>
            <w:rStyle w:val="Hyperlink"/>
            <w:rFonts w:ascii="Palatino Linotype" w:hAnsi="Palatino Linotype"/>
            <w:sz w:val="24"/>
            <w:szCs w:val="24"/>
          </w:rPr>
          <w:t>https://legislacao.presidencia.gov.br/atos/?tipo=DLG&amp;numero=36&amp;ano=2024&amp;ato=1f6cXSq1ENZpWTb5e</w:t>
        </w:r>
      </w:hyperlink>
      <w:r w:rsidRPr="004A566F">
        <w:rPr>
          <w:rFonts w:ascii="Palatino Linotype" w:hAnsi="Palatino Linotype"/>
          <w:sz w:val="24"/>
          <w:szCs w:val="24"/>
        </w:rPr>
        <w:t>.</w:t>
      </w:r>
    </w:p>
    <w:p w:rsidR="00650773" w:rsidRDefault="00650773" w:rsidP="004A56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50773" w:rsidRDefault="00650773" w:rsidP="004A56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650773">
        <w:rPr>
          <w:rFonts w:ascii="Palatino Linotype" w:hAnsi="Palatino Linotype"/>
          <w:sz w:val="24"/>
          <w:szCs w:val="24"/>
        </w:rPr>
        <w:t xml:space="preserve">Igualmente, </w:t>
      </w:r>
      <w:r w:rsidRPr="00530F7D">
        <w:rPr>
          <w:rFonts w:ascii="Palatino Linotype" w:hAnsi="Palatino Linotype"/>
          <w:b/>
          <w:sz w:val="24"/>
          <w:szCs w:val="24"/>
          <w:u w:val="single"/>
        </w:rPr>
        <w:t>o art. 73, § 10, da Lei 9.504/97 prevê</w:t>
      </w:r>
      <w:r w:rsidR="00626621" w:rsidRPr="00530F7D">
        <w:rPr>
          <w:rFonts w:ascii="Palatino Linotype" w:hAnsi="Palatino Linotype"/>
          <w:b/>
          <w:sz w:val="24"/>
          <w:szCs w:val="24"/>
          <w:u w:val="single"/>
        </w:rPr>
        <w:t xml:space="preserve"> a possibilidade de concessão de benefício fiscal em ano eleitoral nos casos de calamidade públ</w:t>
      </w:r>
      <w:r w:rsidR="00626621" w:rsidRPr="00530F7D">
        <w:rPr>
          <w:rFonts w:ascii="Palatino Linotype" w:hAnsi="Palatino Linotype"/>
          <w:b/>
          <w:sz w:val="24"/>
          <w:szCs w:val="24"/>
          <w:u w:val="single"/>
        </w:rPr>
        <w:t>i</w:t>
      </w:r>
      <w:r w:rsidR="00626621" w:rsidRPr="00530F7D">
        <w:rPr>
          <w:rFonts w:ascii="Palatino Linotype" w:hAnsi="Palatino Linotype"/>
          <w:b/>
          <w:sz w:val="24"/>
          <w:szCs w:val="24"/>
          <w:u w:val="single"/>
        </w:rPr>
        <w:t>ca</w:t>
      </w:r>
      <w:r w:rsidRPr="00530F7D">
        <w:rPr>
          <w:rFonts w:ascii="Palatino Linotype" w:hAnsi="Palatino Linotype"/>
          <w:b/>
          <w:sz w:val="24"/>
          <w:szCs w:val="24"/>
          <w:u w:val="single"/>
        </w:rPr>
        <w:t>:</w:t>
      </w:r>
      <w:r w:rsidRPr="00650773">
        <w:rPr>
          <w:rFonts w:ascii="Palatino Linotype" w:hAnsi="Palatino Linotype"/>
          <w:sz w:val="24"/>
          <w:szCs w:val="24"/>
        </w:rPr>
        <w:t xml:space="preserve"> </w:t>
      </w:r>
    </w:p>
    <w:p w:rsidR="00650773" w:rsidRDefault="00650773" w:rsidP="004A566F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650773" w:rsidRPr="00DE1C1F" w:rsidRDefault="00650773" w:rsidP="00650773">
      <w:pPr>
        <w:spacing w:after="0" w:line="240" w:lineRule="auto"/>
        <w:ind w:left="2832"/>
        <w:jc w:val="both"/>
        <w:rPr>
          <w:rFonts w:ascii="Palatino Linotype" w:hAnsi="Palatino Linotype"/>
          <w:bCs/>
          <w:sz w:val="20"/>
          <w:szCs w:val="24"/>
        </w:rPr>
      </w:pPr>
      <w:r w:rsidRPr="00DE1C1F">
        <w:rPr>
          <w:rFonts w:ascii="Palatino Linotype" w:hAnsi="Palatino Linotype"/>
          <w:bCs/>
          <w:sz w:val="20"/>
          <w:szCs w:val="24"/>
        </w:rPr>
        <w:t>Art. 73. São proibidas aos agentes públicos, servidores ou não, as seguintes condutas tendentes a afetar a igualdade de oport</w:t>
      </w:r>
      <w:r w:rsidRPr="00DE1C1F">
        <w:rPr>
          <w:rFonts w:ascii="Palatino Linotype" w:hAnsi="Palatino Linotype"/>
          <w:bCs/>
          <w:sz w:val="20"/>
          <w:szCs w:val="24"/>
        </w:rPr>
        <w:t>u</w:t>
      </w:r>
      <w:r w:rsidRPr="00DE1C1F">
        <w:rPr>
          <w:rFonts w:ascii="Palatino Linotype" w:hAnsi="Palatino Linotype"/>
          <w:bCs/>
          <w:sz w:val="20"/>
          <w:szCs w:val="24"/>
        </w:rPr>
        <w:t xml:space="preserve">nidades entre candidatos nos pleitos eleitorais: </w:t>
      </w:r>
    </w:p>
    <w:p w:rsidR="00650773" w:rsidRPr="00DE1C1F" w:rsidRDefault="00650773" w:rsidP="00650773">
      <w:pPr>
        <w:spacing w:after="0" w:line="240" w:lineRule="auto"/>
        <w:ind w:left="2832"/>
        <w:jc w:val="both"/>
        <w:rPr>
          <w:rFonts w:ascii="Palatino Linotype" w:hAnsi="Palatino Linotype"/>
          <w:bCs/>
          <w:sz w:val="20"/>
          <w:szCs w:val="24"/>
        </w:rPr>
      </w:pPr>
      <w:r w:rsidRPr="00DE1C1F">
        <w:rPr>
          <w:rFonts w:ascii="Palatino Linotype" w:hAnsi="Palatino Linotype"/>
          <w:bCs/>
          <w:sz w:val="20"/>
          <w:szCs w:val="24"/>
        </w:rPr>
        <w:t xml:space="preserve">[...] </w:t>
      </w:r>
    </w:p>
    <w:p w:rsidR="00650773" w:rsidRPr="00DE1C1F" w:rsidRDefault="00650773" w:rsidP="00650773">
      <w:pPr>
        <w:spacing w:after="0" w:line="240" w:lineRule="auto"/>
        <w:ind w:left="2832"/>
        <w:jc w:val="both"/>
        <w:rPr>
          <w:rFonts w:ascii="Palatino Linotype" w:hAnsi="Palatino Linotype"/>
          <w:bCs/>
          <w:sz w:val="20"/>
          <w:szCs w:val="24"/>
        </w:rPr>
      </w:pPr>
      <w:r w:rsidRPr="00DE1C1F">
        <w:rPr>
          <w:rFonts w:ascii="Palatino Linotype" w:hAnsi="Palatino Linotype"/>
          <w:bCs/>
          <w:sz w:val="20"/>
          <w:szCs w:val="24"/>
        </w:rPr>
        <w:t>§10. No ano em que se realizar eleição, fica proibida a distribu</w:t>
      </w:r>
      <w:r w:rsidRPr="00DE1C1F">
        <w:rPr>
          <w:rFonts w:ascii="Palatino Linotype" w:hAnsi="Palatino Linotype"/>
          <w:bCs/>
          <w:sz w:val="20"/>
          <w:szCs w:val="24"/>
        </w:rPr>
        <w:t>i</w:t>
      </w:r>
      <w:r w:rsidRPr="00DE1C1F">
        <w:rPr>
          <w:rFonts w:ascii="Palatino Linotype" w:hAnsi="Palatino Linotype"/>
          <w:bCs/>
          <w:sz w:val="20"/>
          <w:szCs w:val="24"/>
        </w:rPr>
        <w:t>ção gratuita de bens, valores ou benefícios por parte da Adm</w:t>
      </w:r>
      <w:r w:rsidRPr="00DE1C1F">
        <w:rPr>
          <w:rFonts w:ascii="Palatino Linotype" w:hAnsi="Palatino Linotype"/>
          <w:bCs/>
          <w:sz w:val="20"/>
          <w:szCs w:val="24"/>
        </w:rPr>
        <w:t>i</w:t>
      </w:r>
      <w:r w:rsidRPr="00DE1C1F">
        <w:rPr>
          <w:rFonts w:ascii="Palatino Linotype" w:hAnsi="Palatino Linotype"/>
          <w:bCs/>
          <w:sz w:val="20"/>
          <w:szCs w:val="24"/>
        </w:rPr>
        <w:t xml:space="preserve">nistração Pública, </w:t>
      </w:r>
      <w:r w:rsidRPr="00DE1C1F">
        <w:rPr>
          <w:rFonts w:ascii="Palatino Linotype" w:hAnsi="Palatino Linotype"/>
          <w:b/>
          <w:bCs/>
          <w:sz w:val="20"/>
          <w:szCs w:val="24"/>
          <w:u w:val="single"/>
        </w:rPr>
        <w:t>exceto nos casos de calamidade pública</w:t>
      </w:r>
      <w:r w:rsidRPr="00DE1C1F">
        <w:rPr>
          <w:rFonts w:ascii="Palatino Linotype" w:hAnsi="Palatino Linotype"/>
          <w:bCs/>
          <w:sz w:val="20"/>
          <w:szCs w:val="24"/>
        </w:rPr>
        <w:t xml:space="preserve">, de estado de emergência ou de programas sociais autorizados em </w:t>
      </w:r>
      <w:r w:rsidRPr="00DE1C1F">
        <w:rPr>
          <w:rFonts w:ascii="Palatino Linotype" w:hAnsi="Palatino Linotype"/>
          <w:bCs/>
          <w:sz w:val="20"/>
          <w:szCs w:val="24"/>
        </w:rPr>
        <w:lastRenderedPageBreak/>
        <w:t>lei e já em execução orçamentária no exercício anterior, casos em que o Ministério Público poderá promover o acompanh</w:t>
      </w:r>
      <w:r w:rsidRPr="00DE1C1F">
        <w:rPr>
          <w:rFonts w:ascii="Palatino Linotype" w:hAnsi="Palatino Linotype"/>
          <w:bCs/>
          <w:sz w:val="20"/>
          <w:szCs w:val="24"/>
        </w:rPr>
        <w:t>a</w:t>
      </w:r>
      <w:r w:rsidRPr="00DE1C1F">
        <w:rPr>
          <w:rFonts w:ascii="Palatino Linotype" w:hAnsi="Palatino Linotype"/>
          <w:bCs/>
          <w:sz w:val="20"/>
          <w:szCs w:val="24"/>
        </w:rPr>
        <w:t>mento de sua execução financeira e administrativa. (Incluído pela Lei nº 11.300, de 2006)</w:t>
      </w:r>
    </w:p>
    <w:p w:rsidR="009F03E9" w:rsidRDefault="009F03E9" w:rsidP="009D5980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5B428E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5B428E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5B428E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F77F5" w:rsidRDefault="00B44BC1" w:rsidP="00A74A2D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  <w:u w:val="single"/>
        </w:rPr>
      </w:pPr>
      <w:r w:rsidRPr="005B428E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5B428E">
        <w:rPr>
          <w:rFonts w:ascii="Palatino Linotype" w:hAnsi="Palatino Linotype"/>
          <w:b/>
          <w:sz w:val="24"/>
          <w:szCs w:val="24"/>
        </w:rPr>
        <w:t>opina pela regular tramitação do Projeto de Lei</w:t>
      </w:r>
      <w:r w:rsidR="00BD6A28" w:rsidRPr="005B428E">
        <w:rPr>
          <w:rFonts w:ascii="Palatino Linotype" w:hAnsi="Palatino Linotype"/>
          <w:b/>
          <w:sz w:val="24"/>
          <w:szCs w:val="24"/>
        </w:rPr>
        <w:t xml:space="preserve"> do Executivo</w:t>
      </w:r>
      <w:r w:rsidRPr="005B428E">
        <w:rPr>
          <w:rFonts w:ascii="Palatino Linotype" w:hAnsi="Palatino Linotype"/>
          <w:b/>
          <w:sz w:val="24"/>
          <w:szCs w:val="24"/>
        </w:rPr>
        <w:t xml:space="preserve"> nº </w:t>
      </w:r>
      <w:r w:rsidR="003E392C" w:rsidRPr="005B428E">
        <w:rPr>
          <w:rFonts w:ascii="Palatino Linotype" w:hAnsi="Palatino Linotype"/>
          <w:b/>
          <w:sz w:val="24"/>
          <w:szCs w:val="24"/>
        </w:rPr>
        <w:t>0</w:t>
      </w:r>
      <w:r w:rsidR="008E47F7">
        <w:rPr>
          <w:rFonts w:ascii="Palatino Linotype" w:hAnsi="Palatino Linotype"/>
          <w:b/>
          <w:sz w:val="24"/>
          <w:szCs w:val="24"/>
        </w:rPr>
        <w:t>41</w:t>
      </w:r>
      <w:r w:rsidRPr="005B428E">
        <w:rPr>
          <w:rFonts w:ascii="Palatino Linotype" w:hAnsi="Palatino Linotype"/>
          <w:b/>
          <w:sz w:val="24"/>
          <w:szCs w:val="24"/>
        </w:rPr>
        <w:t>/20</w:t>
      </w:r>
      <w:r w:rsidR="00E8506E" w:rsidRPr="005B428E">
        <w:rPr>
          <w:rFonts w:ascii="Palatino Linotype" w:hAnsi="Palatino Linotype"/>
          <w:b/>
          <w:sz w:val="24"/>
          <w:szCs w:val="24"/>
        </w:rPr>
        <w:t>2</w:t>
      </w:r>
      <w:r w:rsidR="00A74A2D">
        <w:rPr>
          <w:rFonts w:ascii="Palatino Linotype" w:hAnsi="Palatino Linotype"/>
          <w:b/>
          <w:sz w:val="24"/>
          <w:szCs w:val="24"/>
        </w:rPr>
        <w:t>4</w:t>
      </w:r>
      <w:r w:rsidRPr="005B428E">
        <w:rPr>
          <w:rFonts w:ascii="Palatino Linotype" w:hAnsi="Palatino Linotype"/>
          <w:sz w:val="24"/>
          <w:szCs w:val="24"/>
        </w:rPr>
        <w:t xml:space="preserve">, </w:t>
      </w:r>
      <w:r w:rsidR="009D5980" w:rsidRPr="00AF6EFD">
        <w:rPr>
          <w:rFonts w:ascii="Palatino Linotype" w:hAnsi="Palatino Linotype"/>
          <w:sz w:val="24"/>
          <w:szCs w:val="24"/>
        </w:rPr>
        <w:t>desde que te</w:t>
      </w:r>
      <w:r w:rsidR="009F03E9" w:rsidRPr="00AF6EFD">
        <w:rPr>
          <w:rFonts w:ascii="Palatino Linotype" w:hAnsi="Palatino Linotype"/>
          <w:sz w:val="24"/>
          <w:szCs w:val="24"/>
        </w:rPr>
        <w:t>nha</w:t>
      </w:r>
      <w:r w:rsidR="009D5980" w:rsidRPr="00AF6EFD">
        <w:rPr>
          <w:rFonts w:ascii="Palatino Linotype" w:hAnsi="Palatino Linotype"/>
          <w:sz w:val="24"/>
          <w:szCs w:val="24"/>
        </w:rPr>
        <w:t xml:space="preserve"> o propósito exclusivo de enfrentar a calamidade e suas consequências sociais e econômicas, com v</w:t>
      </w:r>
      <w:r w:rsidR="009D5980" w:rsidRPr="00AF6EFD">
        <w:rPr>
          <w:rFonts w:ascii="Palatino Linotype" w:hAnsi="Palatino Linotype"/>
          <w:sz w:val="24"/>
          <w:szCs w:val="24"/>
        </w:rPr>
        <w:t>i</w:t>
      </w:r>
      <w:r w:rsidR="009D5980" w:rsidRPr="00AF6EFD">
        <w:rPr>
          <w:rFonts w:ascii="Palatino Linotype" w:hAnsi="Palatino Linotype"/>
          <w:sz w:val="24"/>
          <w:szCs w:val="24"/>
        </w:rPr>
        <w:t>gência e efeitos restritos à sua duração</w:t>
      </w:r>
      <w:r w:rsidR="005F77F5" w:rsidRPr="00AF6EFD">
        <w:rPr>
          <w:rFonts w:ascii="Palatino Linotype" w:hAnsi="Palatino Linotype"/>
          <w:sz w:val="24"/>
          <w:szCs w:val="24"/>
        </w:rPr>
        <w:t>.</w:t>
      </w:r>
      <w:r w:rsidR="00A74A2D">
        <w:rPr>
          <w:rFonts w:ascii="Palatino Linotype" w:hAnsi="Palatino Linotype"/>
          <w:b/>
          <w:sz w:val="24"/>
          <w:szCs w:val="24"/>
          <w:u w:val="single"/>
        </w:rPr>
        <w:t xml:space="preserve"> </w:t>
      </w:r>
    </w:p>
    <w:p w:rsidR="005F77F5" w:rsidRDefault="005F77F5" w:rsidP="00A74A2D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  <w:u w:val="single"/>
        </w:rPr>
      </w:pPr>
    </w:p>
    <w:p w:rsidR="00B44BC1" w:rsidRPr="005B428E" w:rsidRDefault="00B44BC1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5B428E">
        <w:rPr>
          <w:rFonts w:ascii="Palatino Linotype" w:hAnsi="Palatino Linotype"/>
          <w:sz w:val="24"/>
          <w:szCs w:val="24"/>
        </w:rPr>
        <w:t>É o parecer.</w:t>
      </w:r>
    </w:p>
    <w:p w:rsidR="00B44BC1" w:rsidRPr="005B428E" w:rsidRDefault="00B44BC1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E392C" w:rsidRPr="005B428E" w:rsidRDefault="003E392C" w:rsidP="003E392C">
      <w:pPr>
        <w:spacing w:after="0" w:line="36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5B428E">
        <w:rPr>
          <w:rFonts w:ascii="Palatino Linotype" w:hAnsi="Palatino Linotype" w:cstheme="minorHAnsi"/>
          <w:sz w:val="24"/>
          <w:szCs w:val="24"/>
        </w:rPr>
        <w:t xml:space="preserve">Guaíba, </w:t>
      </w:r>
      <w:r w:rsidR="0029123C">
        <w:rPr>
          <w:rFonts w:ascii="Palatino Linotype" w:hAnsi="Palatino Linotype" w:cstheme="minorHAnsi"/>
          <w:sz w:val="24"/>
          <w:szCs w:val="24"/>
        </w:rPr>
        <w:t>0</w:t>
      </w:r>
      <w:r w:rsidR="008E47F7">
        <w:rPr>
          <w:rFonts w:ascii="Palatino Linotype" w:hAnsi="Palatino Linotype" w:cstheme="minorHAnsi"/>
          <w:sz w:val="24"/>
          <w:szCs w:val="24"/>
        </w:rPr>
        <w:t>8</w:t>
      </w:r>
      <w:r w:rsidRPr="005B428E">
        <w:rPr>
          <w:rFonts w:ascii="Palatino Linotype" w:hAnsi="Palatino Linotype" w:cstheme="minorHAnsi"/>
          <w:sz w:val="24"/>
          <w:szCs w:val="24"/>
        </w:rPr>
        <w:t xml:space="preserve"> de </w:t>
      </w:r>
      <w:r w:rsidR="00E8506E" w:rsidRPr="005B428E">
        <w:rPr>
          <w:rFonts w:ascii="Palatino Linotype" w:hAnsi="Palatino Linotype" w:cstheme="minorHAnsi"/>
          <w:sz w:val="24"/>
          <w:szCs w:val="24"/>
        </w:rPr>
        <w:t>ju</w:t>
      </w:r>
      <w:r w:rsidR="008E47F7">
        <w:rPr>
          <w:rFonts w:ascii="Palatino Linotype" w:hAnsi="Palatino Linotype" w:cstheme="minorHAnsi"/>
          <w:sz w:val="24"/>
          <w:szCs w:val="24"/>
        </w:rPr>
        <w:t>l</w:t>
      </w:r>
      <w:r w:rsidR="00E8506E" w:rsidRPr="005B428E">
        <w:rPr>
          <w:rFonts w:ascii="Palatino Linotype" w:hAnsi="Palatino Linotype" w:cstheme="minorHAnsi"/>
          <w:sz w:val="24"/>
          <w:szCs w:val="24"/>
        </w:rPr>
        <w:t>ho</w:t>
      </w:r>
      <w:r w:rsidRPr="005B428E">
        <w:rPr>
          <w:rFonts w:ascii="Palatino Linotype" w:hAnsi="Palatino Linotype" w:cstheme="minorHAnsi"/>
          <w:sz w:val="24"/>
          <w:szCs w:val="24"/>
        </w:rPr>
        <w:t xml:space="preserve"> de 20</w:t>
      </w:r>
      <w:r w:rsidR="00E8506E" w:rsidRPr="005B428E">
        <w:rPr>
          <w:rFonts w:ascii="Palatino Linotype" w:hAnsi="Palatino Linotype" w:cstheme="minorHAnsi"/>
          <w:sz w:val="24"/>
          <w:szCs w:val="24"/>
        </w:rPr>
        <w:t>2</w:t>
      </w:r>
      <w:r w:rsidR="0029123C">
        <w:rPr>
          <w:rFonts w:ascii="Palatino Linotype" w:hAnsi="Palatino Linotype" w:cstheme="minorHAnsi"/>
          <w:sz w:val="24"/>
          <w:szCs w:val="24"/>
        </w:rPr>
        <w:t>4</w:t>
      </w:r>
      <w:r w:rsidRPr="005B428E">
        <w:rPr>
          <w:rFonts w:ascii="Palatino Linotype" w:hAnsi="Palatino Linotype" w:cstheme="minorHAnsi"/>
          <w:sz w:val="24"/>
          <w:szCs w:val="24"/>
        </w:rPr>
        <w:t>.</w:t>
      </w:r>
    </w:p>
    <w:p w:rsidR="003E392C" w:rsidRPr="005B428E" w:rsidRDefault="003E392C" w:rsidP="003E392C">
      <w:pPr>
        <w:spacing w:after="0" w:line="36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</w:p>
    <w:p w:rsidR="003E392C" w:rsidRPr="005B428E" w:rsidRDefault="003E392C" w:rsidP="003E392C">
      <w:pPr>
        <w:spacing w:after="0" w:line="240" w:lineRule="auto"/>
        <w:jc w:val="center"/>
        <w:rPr>
          <w:rFonts w:ascii="Palatino Linotype" w:hAnsi="Palatino Linotype" w:cstheme="minorHAnsi"/>
          <w:b/>
          <w:sz w:val="24"/>
          <w:szCs w:val="24"/>
        </w:rPr>
      </w:pPr>
      <w:r w:rsidRPr="005B428E">
        <w:rPr>
          <w:rFonts w:ascii="Palatino Linotype" w:hAnsi="Palatino Linotype" w:cstheme="minorHAnsi"/>
          <w:b/>
          <w:sz w:val="24"/>
          <w:szCs w:val="24"/>
        </w:rPr>
        <w:t>FERNANDO HENRIQUE ESCOBAR BINS</w:t>
      </w:r>
    </w:p>
    <w:p w:rsidR="003E392C" w:rsidRPr="005B428E" w:rsidRDefault="003E392C" w:rsidP="003E392C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5B428E">
        <w:rPr>
          <w:rFonts w:ascii="Palatino Linotype" w:hAnsi="Palatino Linotype" w:cstheme="minorHAnsi"/>
          <w:sz w:val="24"/>
          <w:szCs w:val="24"/>
        </w:rPr>
        <w:t xml:space="preserve">Procurador-Geral </w:t>
      </w:r>
    </w:p>
    <w:p w:rsidR="003E392C" w:rsidRPr="005B428E" w:rsidRDefault="003E392C" w:rsidP="003E392C">
      <w:pPr>
        <w:spacing w:after="0" w:line="240" w:lineRule="auto"/>
        <w:jc w:val="center"/>
        <w:rPr>
          <w:rFonts w:ascii="Palatino Linotype" w:hAnsi="Palatino Linotype" w:cstheme="minorHAnsi"/>
          <w:sz w:val="24"/>
          <w:szCs w:val="24"/>
        </w:rPr>
      </w:pPr>
      <w:r w:rsidRPr="005B428E">
        <w:rPr>
          <w:rFonts w:ascii="Palatino Linotype" w:hAnsi="Palatino Linotype" w:cstheme="minorHAnsi"/>
          <w:sz w:val="24"/>
          <w:szCs w:val="24"/>
        </w:rPr>
        <w:t>OAB/RS nº 107.136</w:t>
      </w:r>
    </w:p>
    <w:p w:rsidR="00C7445E" w:rsidRPr="005B428E" w:rsidRDefault="00C7445E" w:rsidP="003E392C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sectPr w:rsidR="00C7445E" w:rsidRPr="005B428E" w:rsidSect="003E392C">
      <w:headerReference w:type="default" r:id="rId9"/>
      <w:footerReference w:type="default" r:id="rId10"/>
      <w:pgSz w:w="11906" w:h="16838"/>
      <w:pgMar w:top="1417" w:right="1701" w:bottom="1417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517" w:rsidRDefault="00341517" w:rsidP="00B365A3">
      <w:pPr>
        <w:spacing w:after="0" w:line="240" w:lineRule="auto"/>
      </w:pPr>
      <w:r>
        <w:separator/>
      </w:r>
    </w:p>
  </w:endnote>
  <w:endnote w:type="continuationSeparator" w:id="1">
    <w:p w:rsidR="00341517" w:rsidRDefault="00341517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617704"/>
      <w:docPartObj>
        <w:docPartGallery w:val="Page Numbers (Bottom of Page)"/>
        <w:docPartUnique/>
      </w:docPartObj>
    </w:sdtPr>
    <w:sdtContent>
      <w:p w:rsidR="00E228F0" w:rsidRDefault="00E83556">
        <w:pPr>
          <w:pStyle w:val="Rodap"/>
          <w:jc w:val="right"/>
        </w:pPr>
        <w:fldSimple w:instr=" PAGE   \* MERGEFORMAT ">
          <w:r w:rsidR="00B75593">
            <w:rPr>
              <w:noProof/>
            </w:rPr>
            <w:t>3</w:t>
          </w:r>
        </w:fldSimple>
      </w:p>
    </w:sdtContent>
  </w:sdt>
  <w:p w:rsidR="00E228F0" w:rsidRDefault="00E228F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517" w:rsidRDefault="00341517" w:rsidP="00B365A3">
      <w:pPr>
        <w:spacing w:after="0" w:line="240" w:lineRule="auto"/>
      </w:pPr>
      <w:r>
        <w:separator/>
      </w:r>
    </w:p>
  </w:footnote>
  <w:footnote w:type="continuationSeparator" w:id="1">
    <w:p w:rsidR="00341517" w:rsidRDefault="00341517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8F0" w:rsidRDefault="00E228F0" w:rsidP="00CF6266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1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228F0" w:rsidRPr="008D66FB" w:rsidRDefault="00E228F0" w:rsidP="00CF6266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</w:rPr>
    </w:pPr>
    <w:r w:rsidRPr="008D66FB">
      <w:rPr>
        <w:rFonts w:ascii="Century Schoolbook" w:hAnsi="Century Schoolbook"/>
        <w:b/>
        <w:sz w:val="20"/>
      </w:rPr>
      <w:t>PROCURADORIA JURÍDICA</w:t>
    </w:r>
  </w:p>
  <w:p w:rsidR="00E228F0" w:rsidRDefault="00E228F0" w:rsidP="00CF6266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02FE6"/>
    <w:rsid w:val="000232DF"/>
    <w:rsid w:val="00032713"/>
    <w:rsid w:val="00036BC1"/>
    <w:rsid w:val="0004775C"/>
    <w:rsid w:val="00064AEC"/>
    <w:rsid w:val="000714D3"/>
    <w:rsid w:val="00087207"/>
    <w:rsid w:val="000A0FA5"/>
    <w:rsid w:val="000C4C41"/>
    <w:rsid w:val="000D379C"/>
    <w:rsid w:val="000D4F61"/>
    <w:rsid w:val="000F6CF8"/>
    <w:rsid w:val="00104B2C"/>
    <w:rsid w:val="00110DB4"/>
    <w:rsid w:val="001144C0"/>
    <w:rsid w:val="00124B36"/>
    <w:rsid w:val="00127F27"/>
    <w:rsid w:val="001307F4"/>
    <w:rsid w:val="001318B9"/>
    <w:rsid w:val="00137D17"/>
    <w:rsid w:val="001469A7"/>
    <w:rsid w:val="00154DD1"/>
    <w:rsid w:val="0017016F"/>
    <w:rsid w:val="0017074A"/>
    <w:rsid w:val="00173378"/>
    <w:rsid w:val="0017380F"/>
    <w:rsid w:val="00187272"/>
    <w:rsid w:val="00192F0F"/>
    <w:rsid w:val="001B21CC"/>
    <w:rsid w:val="001B23B1"/>
    <w:rsid w:val="001D7970"/>
    <w:rsid w:val="001E207C"/>
    <w:rsid w:val="001F5FE9"/>
    <w:rsid w:val="001F6BDB"/>
    <w:rsid w:val="002115F7"/>
    <w:rsid w:val="002456F8"/>
    <w:rsid w:val="00252BFB"/>
    <w:rsid w:val="00261C23"/>
    <w:rsid w:val="002652C5"/>
    <w:rsid w:val="002700A6"/>
    <w:rsid w:val="00281368"/>
    <w:rsid w:val="002856E6"/>
    <w:rsid w:val="0029123C"/>
    <w:rsid w:val="00291601"/>
    <w:rsid w:val="00291761"/>
    <w:rsid w:val="00296F1C"/>
    <w:rsid w:val="002A223B"/>
    <w:rsid w:val="002C70C9"/>
    <w:rsid w:val="002E4067"/>
    <w:rsid w:val="002F32AB"/>
    <w:rsid w:val="00330F59"/>
    <w:rsid w:val="00341517"/>
    <w:rsid w:val="0034557E"/>
    <w:rsid w:val="00346B99"/>
    <w:rsid w:val="003470F2"/>
    <w:rsid w:val="003475BB"/>
    <w:rsid w:val="00351CD9"/>
    <w:rsid w:val="00360FD0"/>
    <w:rsid w:val="003617F4"/>
    <w:rsid w:val="00363010"/>
    <w:rsid w:val="00370BDA"/>
    <w:rsid w:val="00375C06"/>
    <w:rsid w:val="003869FD"/>
    <w:rsid w:val="00390570"/>
    <w:rsid w:val="003A29D1"/>
    <w:rsid w:val="003A4B1F"/>
    <w:rsid w:val="003C39E5"/>
    <w:rsid w:val="003D0553"/>
    <w:rsid w:val="003D14F4"/>
    <w:rsid w:val="003D1B87"/>
    <w:rsid w:val="003D3E97"/>
    <w:rsid w:val="003D5841"/>
    <w:rsid w:val="003D7550"/>
    <w:rsid w:val="003E0EAC"/>
    <w:rsid w:val="003E392C"/>
    <w:rsid w:val="003E4768"/>
    <w:rsid w:val="003F044C"/>
    <w:rsid w:val="003F75BD"/>
    <w:rsid w:val="0041250C"/>
    <w:rsid w:val="0041616C"/>
    <w:rsid w:val="00437B8D"/>
    <w:rsid w:val="004441DE"/>
    <w:rsid w:val="00457602"/>
    <w:rsid w:val="0046712B"/>
    <w:rsid w:val="0047641F"/>
    <w:rsid w:val="004A219B"/>
    <w:rsid w:val="004A566F"/>
    <w:rsid w:val="004B29E4"/>
    <w:rsid w:val="004B4273"/>
    <w:rsid w:val="004D2D02"/>
    <w:rsid w:val="004D3DB3"/>
    <w:rsid w:val="004D61EC"/>
    <w:rsid w:val="004E7DEA"/>
    <w:rsid w:val="004F75B2"/>
    <w:rsid w:val="005002AE"/>
    <w:rsid w:val="00503D54"/>
    <w:rsid w:val="005139F1"/>
    <w:rsid w:val="00522303"/>
    <w:rsid w:val="00530F7D"/>
    <w:rsid w:val="0053798F"/>
    <w:rsid w:val="0056015E"/>
    <w:rsid w:val="00567FD3"/>
    <w:rsid w:val="00580EF2"/>
    <w:rsid w:val="00581F39"/>
    <w:rsid w:val="00596FF2"/>
    <w:rsid w:val="005A5471"/>
    <w:rsid w:val="005A5B83"/>
    <w:rsid w:val="005A7F70"/>
    <w:rsid w:val="005B428E"/>
    <w:rsid w:val="005B4778"/>
    <w:rsid w:val="005D36F6"/>
    <w:rsid w:val="005D5748"/>
    <w:rsid w:val="005E038B"/>
    <w:rsid w:val="005E2B95"/>
    <w:rsid w:val="005F77F5"/>
    <w:rsid w:val="00613020"/>
    <w:rsid w:val="00626621"/>
    <w:rsid w:val="00630446"/>
    <w:rsid w:val="006373EC"/>
    <w:rsid w:val="006403F8"/>
    <w:rsid w:val="00650773"/>
    <w:rsid w:val="00652512"/>
    <w:rsid w:val="00653047"/>
    <w:rsid w:val="00680DD3"/>
    <w:rsid w:val="00681765"/>
    <w:rsid w:val="006910A9"/>
    <w:rsid w:val="006A6F9F"/>
    <w:rsid w:val="006B17E3"/>
    <w:rsid w:val="006C0B7C"/>
    <w:rsid w:val="006E52B1"/>
    <w:rsid w:val="006F206E"/>
    <w:rsid w:val="00700BFE"/>
    <w:rsid w:val="0071636F"/>
    <w:rsid w:val="00720AC8"/>
    <w:rsid w:val="00727277"/>
    <w:rsid w:val="007277F2"/>
    <w:rsid w:val="007534D1"/>
    <w:rsid w:val="0076415B"/>
    <w:rsid w:val="00764EB5"/>
    <w:rsid w:val="00766D7E"/>
    <w:rsid w:val="00770D73"/>
    <w:rsid w:val="00774A57"/>
    <w:rsid w:val="00775833"/>
    <w:rsid w:val="0078109A"/>
    <w:rsid w:val="00781BE7"/>
    <w:rsid w:val="007854E6"/>
    <w:rsid w:val="00785B31"/>
    <w:rsid w:val="00786918"/>
    <w:rsid w:val="00790397"/>
    <w:rsid w:val="00795648"/>
    <w:rsid w:val="007A5BD4"/>
    <w:rsid w:val="007B7FD3"/>
    <w:rsid w:val="007C5C5E"/>
    <w:rsid w:val="007C5EC4"/>
    <w:rsid w:val="007D2488"/>
    <w:rsid w:val="007D298E"/>
    <w:rsid w:val="007F1296"/>
    <w:rsid w:val="007F43B0"/>
    <w:rsid w:val="00811016"/>
    <w:rsid w:val="008138B2"/>
    <w:rsid w:val="008165C9"/>
    <w:rsid w:val="00820BFB"/>
    <w:rsid w:val="00825041"/>
    <w:rsid w:val="0082543E"/>
    <w:rsid w:val="00827C1F"/>
    <w:rsid w:val="00840C25"/>
    <w:rsid w:val="008426D4"/>
    <w:rsid w:val="00847C81"/>
    <w:rsid w:val="00863330"/>
    <w:rsid w:val="00877381"/>
    <w:rsid w:val="008815DD"/>
    <w:rsid w:val="008821FB"/>
    <w:rsid w:val="0088228C"/>
    <w:rsid w:val="008A02A8"/>
    <w:rsid w:val="008A0719"/>
    <w:rsid w:val="008C3EAB"/>
    <w:rsid w:val="008D3901"/>
    <w:rsid w:val="008E1BD0"/>
    <w:rsid w:val="008E47F7"/>
    <w:rsid w:val="00905B60"/>
    <w:rsid w:val="0091238B"/>
    <w:rsid w:val="009143AC"/>
    <w:rsid w:val="009151AF"/>
    <w:rsid w:val="00922568"/>
    <w:rsid w:val="009244FB"/>
    <w:rsid w:val="0093529D"/>
    <w:rsid w:val="00940D9E"/>
    <w:rsid w:val="00965DF3"/>
    <w:rsid w:val="009677B1"/>
    <w:rsid w:val="009762CB"/>
    <w:rsid w:val="009A1232"/>
    <w:rsid w:val="009B7D3B"/>
    <w:rsid w:val="009C1917"/>
    <w:rsid w:val="009D5980"/>
    <w:rsid w:val="009E03A3"/>
    <w:rsid w:val="009F03E9"/>
    <w:rsid w:val="009F2939"/>
    <w:rsid w:val="00A16B48"/>
    <w:rsid w:val="00A20A99"/>
    <w:rsid w:val="00A21D90"/>
    <w:rsid w:val="00A42DF6"/>
    <w:rsid w:val="00A64253"/>
    <w:rsid w:val="00A67245"/>
    <w:rsid w:val="00A74A2D"/>
    <w:rsid w:val="00A77DF1"/>
    <w:rsid w:val="00A808BC"/>
    <w:rsid w:val="00A82AC7"/>
    <w:rsid w:val="00A85FDB"/>
    <w:rsid w:val="00A91A8F"/>
    <w:rsid w:val="00AA1F55"/>
    <w:rsid w:val="00AA3E10"/>
    <w:rsid w:val="00AA5BF5"/>
    <w:rsid w:val="00AD475C"/>
    <w:rsid w:val="00AE2751"/>
    <w:rsid w:val="00AF6E8B"/>
    <w:rsid w:val="00AF6EFD"/>
    <w:rsid w:val="00B02211"/>
    <w:rsid w:val="00B04756"/>
    <w:rsid w:val="00B12926"/>
    <w:rsid w:val="00B21D5F"/>
    <w:rsid w:val="00B365A3"/>
    <w:rsid w:val="00B44BC1"/>
    <w:rsid w:val="00B54009"/>
    <w:rsid w:val="00B56946"/>
    <w:rsid w:val="00B75593"/>
    <w:rsid w:val="00B75ABA"/>
    <w:rsid w:val="00B90058"/>
    <w:rsid w:val="00B91365"/>
    <w:rsid w:val="00B93FCC"/>
    <w:rsid w:val="00BD6A28"/>
    <w:rsid w:val="00C12338"/>
    <w:rsid w:val="00C265C1"/>
    <w:rsid w:val="00C32837"/>
    <w:rsid w:val="00C41A6F"/>
    <w:rsid w:val="00C51B6F"/>
    <w:rsid w:val="00C63DBC"/>
    <w:rsid w:val="00C65194"/>
    <w:rsid w:val="00C654EE"/>
    <w:rsid w:val="00C702E7"/>
    <w:rsid w:val="00C7445E"/>
    <w:rsid w:val="00C90FE0"/>
    <w:rsid w:val="00C96DE5"/>
    <w:rsid w:val="00CB53BA"/>
    <w:rsid w:val="00CD0562"/>
    <w:rsid w:val="00CD28BB"/>
    <w:rsid w:val="00CD297F"/>
    <w:rsid w:val="00CF27FE"/>
    <w:rsid w:val="00CF6266"/>
    <w:rsid w:val="00CF7F57"/>
    <w:rsid w:val="00D03213"/>
    <w:rsid w:val="00D176D5"/>
    <w:rsid w:val="00D211F9"/>
    <w:rsid w:val="00D22612"/>
    <w:rsid w:val="00D22701"/>
    <w:rsid w:val="00D22B12"/>
    <w:rsid w:val="00D52C41"/>
    <w:rsid w:val="00D6608A"/>
    <w:rsid w:val="00D6756B"/>
    <w:rsid w:val="00D73B3D"/>
    <w:rsid w:val="00D83116"/>
    <w:rsid w:val="00DA0E82"/>
    <w:rsid w:val="00DA7A73"/>
    <w:rsid w:val="00DA7DF5"/>
    <w:rsid w:val="00DB2A03"/>
    <w:rsid w:val="00DB3D43"/>
    <w:rsid w:val="00DC0230"/>
    <w:rsid w:val="00DC0FFE"/>
    <w:rsid w:val="00DC206E"/>
    <w:rsid w:val="00DC21F6"/>
    <w:rsid w:val="00DD6925"/>
    <w:rsid w:val="00DE1C1F"/>
    <w:rsid w:val="00E040B8"/>
    <w:rsid w:val="00E06C84"/>
    <w:rsid w:val="00E228F0"/>
    <w:rsid w:val="00E3191C"/>
    <w:rsid w:val="00E46299"/>
    <w:rsid w:val="00E474B3"/>
    <w:rsid w:val="00E501C1"/>
    <w:rsid w:val="00E5368A"/>
    <w:rsid w:val="00E717A7"/>
    <w:rsid w:val="00E725AB"/>
    <w:rsid w:val="00E74C63"/>
    <w:rsid w:val="00E83556"/>
    <w:rsid w:val="00E8506E"/>
    <w:rsid w:val="00E9425B"/>
    <w:rsid w:val="00EB42B2"/>
    <w:rsid w:val="00EC035D"/>
    <w:rsid w:val="00EC5747"/>
    <w:rsid w:val="00ED5AC2"/>
    <w:rsid w:val="00EF11E2"/>
    <w:rsid w:val="00EF3796"/>
    <w:rsid w:val="00F07E05"/>
    <w:rsid w:val="00F12286"/>
    <w:rsid w:val="00F22392"/>
    <w:rsid w:val="00F351BB"/>
    <w:rsid w:val="00F517D4"/>
    <w:rsid w:val="00F6334E"/>
    <w:rsid w:val="00F6465F"/>
    <w:rsid w:val="00F85172"/>
    <w:rsid w:val="00F87BF5"/>
    <w:rsid w:val="00F92D4B"/>
    <w:rsid w:val="00F93C21"/>
    <w:rsid w:val="00F93EAB"/>
    <w:rsid w:val="00F94625"/>
    <w:rsid w:val="00F96BE4"/>
    <w:rsid w:val="00FA1BA0"/>
    <w:rsid w:val="00FA2E34"/>
    <w:rsid w:val="00FA3059"/>
    <w:rsid w:val="00FA7C5E"/>
    <w:rsid w:val="00FB719E"/>
    <w:rsid w:val="00FC196F"/>
    <w:rsid w:val="00FC2476"/>
    <w:rsid w:val="00FC78D1"/>
    <w:rsid w:val="00FC7A41"/>
    <w:rsid w:val="00FD0AFA"/>
    <w:rsid w:val="00FD3A5D"/>
    <w:rsid w:val="00FF3AFF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character" w:styleId="Forte">
    <w:name w:val="Strong"/>
    <w:basedOn w:val="Fontepargpadro"/>
    <w:uiPriority w:val="22"/>
    <w:qFormat/>
    <w:rsid w:val="009D5980"/>
    <w:rPr>
      <w:b/>
      <w:bCs/>
    </w:rPr>
  </w:style>
  <w:style w:type="character" w:styleId="nfase">
    <w:name w:val="Emphasis"/>
    <w:basedOn w:val="Fontepargpadro"/>
    <w:uiPriority w:val="20"/>
    <w:qFormat/>
    <w:rsid w:val="00437B8D"/>
    <w:rPr>
      <w:i/>
      <w:i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6015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6015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6015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islacao.presidencia.gov.br/atos/?tipo=DLG&amp;numero=36&amp;ano=2024&amp;ato=1f6cXSq1ENZpWTb5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FA076-E79F-4F94-86E5-1FC9403D3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2246</Words>
  <Characters>12131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8</cp:revision>
  <cp:lastPrinted>2019-11-13T19:32:00Z</cp:lastPrinted>
  <dcterms:created xsi:type="dcterms:W3CDTF">2024-07-08T14:19:00Z</dcterms:created>
  <dcterms:modified xsi:type="dcterms:W3CDTF">2024-07-08T19:07:00Z</dcterms:modified>
</cp:coreProperties>
</file>