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E145C7" w:rsidRDefault="008138B2" w:rsidP="00442275">
      <w:pPr>
        <w:pBdr>
          <w:top w:val="single" w:sz="4" w:space="1" w:color="auto"/>
          <w:left w:val="single" w:sz="4" w:space="4" w:color="auto"/>
          <w:bottom w:val="single" w:sz="4" w:space="1" w:color="auto"/>
          <w:right w:val="single" w:sz="4" w:space="4" w:color="auto"/>
        </w:pBdr>
        <w:spacing w:after="0" w:line="360" w:lineRule="auto"/>
        <w:jc w:val="center"/>
        <w:rPr>
          <w:rFonts w:ascii="Palatino Linotype" w:hAnsi="Palatino Linotype"/>
          <w:b/>
          <w:sz w:val="24"/>
          <w:szCs w:val="24"/>
        </w:rPr>
      </w:pPr>
      <w:r w:rsidRPr="00E145C7">
        <w:rPr>
          <w:rFonts w:ascii="Palatino Linotype" w:hAnsi="Palatino Linotype"/>
          <w:b/>
          <w:sz w:val="24"/>
          <w:szCs w:val="24"/>
        </w:rPr>
        <w:t>PARECER JURÍDICO</w:t>
      </w:r>
      <w:r w:rsidR="001C463E" w:rsidRPr="00E145C7">
        <w:rPr>
          <w:rFonts w:ascii="Palatino Linotype" w:hAnsi="Palatino Linotype"/>
          <w:b/>
          <w:sz w:val="24"/>
          <w:szCs w:val="24"/>
        </w:rPr>
        <w:t xml:space="preserve"> Nº </w:t>
      </w:r>
      <w:r w:rsidR="00E145C7" w:rsidRPr="00E145C7">
        <w:rPr>
          <w:rFonts w:ascii="Palatino Linotype" w:hAnsi="Palatino Linotype"/>
          <w:b/>
          <w:sz w:val="24"/>
          <w:szCs w:val="24"/>
        </w:rPr>
        <w:t>067</w:t>
      </w:r>
      <w:r w:rsidR="00C82CBB" w:rsidRPr="00E145C7">
        <w:rPr>
          <w:rFonts w:ascii="Palatino Linotype" w:hAnsi="Palatino Linotype"/>
          <w:b/>
          <w:sz w:val="24"/>
          <w:szCs w:val="24"/>
        </w:rPr>
        <w:t>/202</w:t>
      </w:r>
      <w:r w:rsidR="00E145C7" w:rsidRPr="00E145C7">
        <w:rPr>
          <w:rFonts w:ascii="Palatino Linotype" w:hAnsi="Palatino Linotype"/>
          <w:b/>
          <w:sz w:val="24"/>
          <w:szCs w:val="24"/>
        </w:rPr>
        <w:t>5</w:t>
      </w:r>
    </w:p>
    <w:p w:rsidR="00653047" w:rsidRPr="00E145C7" w:rsidRDefault="00653047" w:rsidP="008138B2">
      <w:pPr>
        <w:spacing w:after="0" w:line="360" w:lineRule="auto"/>
        <w:jc w:val="center"/>
        <w:rPr>
          <w:rFonts w:ascii="Palatino Linotype" w:hAnsi="Palatino Linotype"/>
          <w:b/>
          <w:sz w:val="24"/>
          <w:szCs w:val="24"/>
        </w:rPr>
      </w:pPr>
    </w:p>
    <w:p w:rsidR="008138B2" w:rsidRPr="00E145C7" w:rsidRDefault="00F85172" w:rsidP="008138B2">
      <w:pPr>
        <w:pStyle w:val="PargrafodaLista"/>
        <w:numPr>
          <w:ilvl w:val="0"/>
          <w:numId w:val="1"/>
        </w:numPr>
        <w:spacing w:after="0" w:line="360" w:lineRule="auto"/>
        <w:jc w:val="both"/>
        <w:rPr>
          <w:rFonts w:ascii="Palatino Linotype" w:hAnsi="Palatino Linotype"/>
          <w:b/>
          <w:sz w:val="24"/>
          <w:szCs w:val="24"/>
        </w:rPr>
      </w:pPr>
      <w:r w:rsidRPr="00E145C7">
        <w:rPr>
          <w:rFonts w:ascii="Palatino Linotype" w:hAnsi="Palatino Linotype"/>
          <w:b/>
          <w:sz w:val="24"/>
          <w:szCs w:val="24"/>
        </w:rPr>
        <w:t>RELATÓRIO</w:t>
      </w:r>
    </w:p>
    <w:p w:rsidR="008138B2" w:rsidRPr="00E145C7" w:rsidRDefault="008138B2" w:rsidP="008138B2">
      <w:pPr>
        <w:spacing w:after="0" w:line="360" w:lineRule="auto"/>
        <w:jc w:val="both"/>
        <w:rPr>
          <w:rFonts w:ascii="Palatino Linotype" w:hAnsi="Palatino Linotype"/>
          <w:b/>
          <w:sz w:val="24"/>
          <w:szCs w:val="24"/>
        </w:rPr>
      </w:pPr>
    </w:p>
    <w:p w:rsidR="008138B2" w:rsidRPr="00E145C7" w:rsidRDefault="001C463E" w:rsidP="008138B2">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 xml:space="preserve">O Vereador </w:t>
      </w:r>
      <w:r w:rsidR="00E145C7">
        <w:rPr>
          <w:rFonts w:ascii="Palatino Linotype" w:hAnsi="Palatino Linotype"/>
          <w:sz w:val="24"/>
          <w:szCs w:val="24"/>
        </w:rPr>
        <w:t>João Caldas (PDT)</w:t>
      </w:r>
      <w:r w:rsidRPr="00E145C7">
        <w:rPr>
          <w:rFonts w:ascii="Palatino Linotype" w:hAnsi="Palatino Linotype"/>
          <w:sz w:val="24"/>
          <w:szCs w:val="24"/>
        </w:rPr>
        <w:t xml:space="preserve"> a</w:t>
      </w:r>
      <w:r w:rsidR="00FD086D" w:rsidRPr="00E145C7">
        <w:rPr>
          <w:rFonts w:ascii="Palatino Linotype" w:hAnsi="Palatino Linotype"/>
          <w:sz w:val="24"/>
          <w:szCs w:val="24"/>
        </w:rPr>
        <w:t>present</w:t>
      </w:r>
      <w:r w:rsidRPr="00E145C7">
        <w:rPr>
          <w:rFonts w:ascii="Palatino Linotype" w:hAnsi="Palatino Linotype"/>
          <w:sz w:val="24"/>
          <w:szCs w:val="24"/>
        </w:rPr>
        <w:t>ou</w:t>
      </w:r>
      <w:r w:rsidR="00B81E40" w:rsidRPr="00E145C7">
        <w:rPr>
          <w:rFonts w:ascii="Palatino Linotype" w:hAnsi="Palatino Linotype"/>
          <w:sz w:val="24"/>
          <w:szCs w:val="24"/>
        </w:rPr>
        <w:t xml:space="preserve"> </w:t>
      </w:r>
      <w:r w:rsidR="009E03A3" w:rsidRPr="00E145C7">
        <w:rPr>
          <w:rFonts w:ascii="Palatino Linotype" w:hAnsi="Palatino Linotype"/>
          <w:sz w:val="24"/>
          <w:szCs w:val="24"/>
        </w:rPr>
        <w:t>o Projeto de Lei</w:t>
      </w:r>
      <w:r w:rsidR="00E145C7">
        <w:rPr>
          <w:rFonts w:ascii="Palatino Linotype" w:hAnsi="Palatino Linotype"/>
          <w:sz w:val="24"/>
          <w:szCs w:val="24"/>
        </w:rPr>
        <w:t xml:space="preserve"> do Legislativo</w:t>
      </w:r>
      <w:r w:rsidR="009E03A3" w:rsidRPr="00E145C7">
        <w:rPr>
          <w:rFonts w:ascii="Palatino Linotype" w:hAnsi="Palatino Linotype"/>
          <w:sz w:val="24"/>
          <w:szCs w:val="24"/>
        </w:rPr>
        <w:t xml:space="preserve"> nº </w:t>
      </w:r>
      <w:r w:rsidRPr="00E145C7">
        <w:rPr>
          <w:rFonts w:ascii="Palatino Linotype" w:hAnsi="Palatino Linotype"/>
          <w:sz w:val="24"/>
          <w:szCs w:val="24"/>
        </w:rPr>
        <w:t>0</w:t>
      </w:r>
      <w:r w:rsidR="00E145C7">
        <w:rPr>
          <w:rFonts w:ascii="Palatino Linotype" w:hAnsi="Palatino Linotype"/>
          <w:sz w:val="24"/>
          <w:szCs w:val="24"/>
        </w:rPr>
        <w:t>33</w:t>
      </w:r>
      <w:r w:rsidRPr="00E145C7">
        <w:rPr>
          <w:rFonts w:ascii="Palatino Linotype" w:hAnsi="Palatino Linotype"/>
          <w:sz w:val="24"/>
          <w:szCs w:val="24"/>
        </w:rPr>
        <w:t>/</w:t>
      </w:r>
      <w:r w:rsidR="00BE7925" w:rsidRPr="00E145C7">
        <w:rPr>
          <w:rFonts w:ascii="Palatino Linotype" w:hAnsi="Palatino Linotype"/>
          <w:sz w:val="24"/>
          <w:szCs w:val="24"/>
        </w:rPr>
        <w:t>20</w:t>
      </w:r>
      <w:r w:rsidRPr="00E145C7">
        <w:rPr>
          <w:rFonts w:ascii="Palatino Linotype" w:hAnsi="Palatino Linotype"/>
          <w:sz w:val="24"/>
          <w:szCs w:val="24"/>
        </w:rPr>
        <w:t>2</w:t>
      </w:r>
      <w:r w:rsidR="00E145C7">
        <w:rPr>
          <w:rFonts w:ascii="Palatino Linotype" w:hAnsi="Palatino Linotype"/>
          <w:sz w:val="24"/>
          <w:szCs w:val="24"/>
        </w:rPr>
        <w:t>5</w:t>
      </w:r>
      <w:r w:rsidR="009E03A3" w:rsidRPr="00E145C7">
        <w:rPr>
          <w:rFonts w:ascii="Palatino Linotype" w:hAnsi="Palatino Linotype"/>
          <w:sz w:val="24"/>
          <w:szCs w:val="24"/>
        </w:rPr>
        <w:t xml:space="preserve"> à Câmara</w:t>
      </w:r>
      <w:r w:rsidR="00B81E40" w:rsidRPr="00E145C7">
        <w:rPr>
          <w:rFonts w:ascii="Palatino Linotype" w:hAnsi="Palatino Linotype"/>
          <w:sz w:val="24"/>
          <w:szCs w:val="24"/>
        </w:rPr>
        <w:t xml:space="preserve"> </w:t>
      </w:r>
      <w:r w:rsidR="009E03A3" w:rsidRPr="00E145C7">
        <w:rPr>
          <w:rFonts w:ascii="Palatino Linotype" w:hAnsi="Palatino Linotype"/>
          <w:sz w:val="24"/>
          <w:szCs w:val="24"/>
        </w:rPr>
        <w:t>Municipal</w:t>
      </w:r>
      <w:r w:rsidR="008138B2" w:rsidRPr="00E145C7">
        <w:rPr>
          <w:rFonts w:ascii="Palatino Linotype" w:hAnsi="Palatino Linotype"/>
          <w:sz w:val="24"/>
          <w:szCs w:val="24"/>
        </w:rPr>
        <w:t>,</w:t>
      </w:r>
      <w:r w:rsidR="00B81E40" w:rsidRPr="00E145C7">
        <w:rPr>
          <w:rFonts w:ascii="Palatino Linotype" w:hAnsi="Palatino Linotype"/>
          <w:sz w:val="24"/>
          <w:szCs w:val="24"/>
        </w:rPr>
        <w:t xml:space="preserve"> </w:t>
      </w:r>
      <w:r w:rsidR="00BE7925" w:rsidRPr="00E145C7">
        <w:rPr>
          <w:rFonts w:ascii="Palatino Linotype" w:hAnsi="Palatino Linotype"/>
          <w:sz w:val="24"/>
          <w:szCs w:val="24"/>
        </w:rPr>
        <w:t xml:space="preserve">objetivando </w:t>
      </w:r>
      <w:r w:rsidR="00ED7562" w:rsidRPr="00E145C7">
        <w:rPr>
          <w:rFonts w:ascii="Palatino Linotype" w:hAnsi="Palatino Linotype"/>
          <w:sz w:val="24"/>
          <w:szCs w:val="24"/>
        </w:rPr>
        <w:t>instituir o Programa IPTU Verde no Município de Guaíba</w:t>
      </w:r>
      <w:r w:rsidR="00FD086D" w:rsidRPr="00E145C7">
        <w:rPr>
          <w:rFonts w:ascii="Palatino Linotype" w:hAnsi="Palatino Linotype"/>
          <w:sz w:val="24"/>
          <w:szCs w:val="24"/>
        </w:rPr>
        <w:t>.</w:t>
      </w:r>
      <w:r w:rsidR="00D479F6" w:rsidRPr="00E145C7">
        <w:rPr>
          <w:rFonts w:ascii="Palatino Linotype" w:hAnsi="Palatino Linotype"/>
          <w:sz w:val="24"/>
          <w:szCs w:val="24"/>
        </w:rPr>
        <w:t xml:space="preserve"> A proposta foi encaminhada à Procuradoria Jurídica da Câm</w:t>
      </w:r>
      <w:r w:rsidR="00D479F6" w:rsidRPr="00E145C7">
        <w:rPr>
          <w:rFonts w:ascii="Palatino Linotype" w:hAnsi="Palatino Linotype"/>
          <w:sz w:val="24"/>
          <w:szCs w:val="24"/>
        </w:rPr>
        <w:t>a</w:t>
      </w:r>
      <w:r w:rsidR="00D479F6" w:rsidRPr="00E145C7">
        <w:rPr>
          <w:rFonts w:ascii="Palatino Linotype" w:hAnsi="Palatino Linotype"/>
          <w:sz w:val="24"/>
          <w:szCs w:val="24"/>
        </w:rPr>
        <w:t>ra Municipal para análise com fu</w:t>
      </w:r>
      <w:r w:rsidR="00D479F6" w:rsidRPr="00E145C7">
        <w:rPr>
          <w:rFonts w:ascii="Palatino Linotype" w:hAnsi="Palatino Linotype"/>
          <w:sz w:val="24"/>
          <w:szCs w:val="24"/>
        </w:rPr>
        <w:t>l</w:t>
      </w:r>
      <w:r w:rsidR="00D479F6" w:rsidRPr="00E145C7">
        <w:rPr>
          <w:rFonts w:ascii="Palatino Linotype" w:hAnsi="Palatino Linotype"/>
          <w:sz w:val="24"/>
          <w:szCs w:val="24"/>
        </w:rPr>
        <w:t xml:space="preserve">cro no art. </w:t>
      </w:r>
      <w:r w:rsidR="00E145C7">
        <w:rPr>
          <w:rFonts w:ascii="Palatino Linotype" w:hAnsi="Palatino Linotype"/>
          <w:sz w:val="24"/>
          <w:szCs w:val="24"/>
        </w:rPr>
        <w:t>94</w:t>
      </w:r>
      <w:r w:rsidR="00D479F6" w:rsidRPr="00E145C7">
        <w:rPr>
          <w:rFonts w:ascii="Palatino Linotype" w:hAnsi="Palatino Linotype"/>
          <w:sz w:val="24"/>
          <w:szCs w:val="24"/>
        </w:rPr>
        <w:t xml:space="preserve"> do Regimento Interno</w:t>
      </w:r>
      <w:r w:rsidR="00FF1982" w:rsidRPr="00E145C7">
        <w:rPr>
          <w:rFonts w:ascii="Palatino Linotype" w:hAnsi="Palatino Linotype"/>
          <w:sz w:val="24"/>
          <w:szCs w:val="24"/>
        </w:rPr>
        <w:t>.</w:t>
      </w:r>
    </w:p>
    <w:p w:rsidR="00B56946" w:rsidRPr="00E145C7" w:rsidRDefault="00B56946" w:rsidP="008138B2">
      <w:pPr>
        <w:spacing w:after="0" w:line="360" w:lineRule="auto"/>
        <w:ind w:firstLine="1134"/>
        <w:jc w:val="both"/>
        <w:rPr>
          <w:rFonts w:ascii="Palatino Linotype" w:hAnsi="Palatino Linotype"/>
          <w:sz w:val="24"/>
          <w:szCs w:val="24"/>
        </w:rPr>
      </w:pPr>
    </w:p>
    <w:p w:rsidR="008138B2" w:rsidRPr="00E145C7" w:rsidRDefault="00FC2476" w:rsidP="008138B2">
      <w:pPr>
        <w:pStyle w:val="PargrafodaLista"/>
        <w:numPr>
          <w:ilvl w:val="0"/>
          <w:numId w:val="1"/>
        </w:numPr>
        <w:spacing w:after="0" w:line="360" w:lineRule="auto"/>
        <w:jc w:val="both"/>
        <w:rPr>
          <w:rFonts w:ascii="Palatino Linotype" w:hAnsi="Palatino Linotype"/>
          <w:b/>
          <w:sz w:val="24"/>
          <w:szCs w:val="24"/>
        </w:rPr>
      </w:pPr>
      <w:r w:rsidRPr="00E145C7">
        <w:rPr>
          <w:rFonts w:ascii="Palatino Linotype" w:hAnsi="Palatino Linotype"/>
          <w:b/>
          <w:sz w:val="24"/>
          <w:szCs w:val="24"/>
        </w:rPr>
        <w:t>MÉRITO</w:t>
      </w:r>
    </w:p>
    <w:p w:rsidR="008138B2" w:rsidRPr="00E145C7" w:rsidRDefault="008138B2" w:rsidP="008138B2">
      <w:pPr>
        <w:spacing w:after="0" w:line="360" w:lineRule="auto"/>
        <w:jc w:val="both"/>
        <w:rPr>
          <w:rFonts w:ascii="Palatino Linotype" w:hAnsi="Palatino Linotype"/>
          <w:b/>
          <w:sz w:val="24"/>
          <w:szCs w:val="24"/>
        </w:rPr>
      </w:pPr>
    </w:p>
    <w:p w:rsidR="00E567A6" w:rsidRPr="00E145C7" w:rsidRDefault="00E567A6" w:rsidP="00E567A6">
      <w:pPr>
        <w:spacing w:after="0" w:line="360" w:lineRule="auto"/>
        <w:ind w:firstLine="1134"/>
        <w:jc w:val="both"/>
        <w:rPr>
          <w:rFonts w:ascii="Palatino Linotype" w:hAnsi="Palatino Linotype" w:cs="Times New Roman"/>
          <w:sz w:val="24"/>
          <w:szCs w:val="24"/>
        </w:rPr>
      </w:pPr>
      <w:r w:rsidRPr="00E145C7">
        <w:rPr>
          <w:rFonts w:ascii="Palatino Linotype" w:hAnsi="Palatino Linotype"/>
          <w:sz w:val="24"/>
          <w:szCs w:val="24"/>
        </w:rPr>
        <w:t xml:space="preserve">Preliminarmente, verifica-se que a norma inscrita no artigo </w:t>
      </w:r>
      <w:r w:rsidR="00E145C7">
        <w:rPr>
          <w:rFonts w:ascii="Palatino Linotype" w:hAnsi="Palatino Linotype"/>
          <w:sz w:val="24"/>
          <w:szCs w:val="24"/>
        </w:rPr>
        <w:t>94</w:t>
      </w:r>
      <w:r w:rsidRPr="00E145C7">
        <w:rPr>
          <w:rFonts w:ascii="Palatino Linotype" w:hAnsi="Palatino Linotype"/>
          <w:sz w:val="24"/>
          <w:szCs w:val="24"/>
        </w:rPr>
        <w:t xml:space="preserve"> do Reg</w:t>
      </w:r>
      <w:r w:rsidRPr="00E145C7">
        <w:rPr>
          <w:rFonts w:ascii="Palatino Linotype" w:hAnsi="Palatino Linotype"/>
          <w:sz w:val="24"/>
          <w:szCs w:val="24"/>
        </w:rPr>
        <w:t>i</w:t>
      </w:r>
      <w:r w:rsidRPr="00E145C7">
        <w:rPr>
          <w:rFonts w:ascii="Palatino Linotype" w:hAnsi="Palatino Linotype"/>
          <w:sz w:val="24"/>
          <w:szCs w:val="24"/>
        </w:rPr>
        <w:t>mento Interno da Câmara Municipal de Guaíba outorga ao Presidente do Legislativo a possibilidade de devolução ao autor de proposições maculadas por manifesta i</w:t>
      </w:r>
      <w:r w:rsidRPr="00E145C7">
        <w:rPr>
          <w:rFonts w:ascii="Palatino Linotype" w:hAnsi="Palatino Linotype"/>
          <w:sz w:val="24"/>
          <w:szCs w:val="24"/>
        </w:rPr>
        <w:t>n</w:t>
      </w:r>
      <w:r w:rsidRPr="00E145C7">
        <w:rPr>
          <w:rFonts w:ascii="Palatino Linotype" w:hAnsi="Palatino Linotype"/>
          <w:sz w:val="24"/>
          <w:szCs w:val="24"/>
        </w:rPr>
        <w:t>constitu</w:t>
      </w:r>
      <w:r w:rsidR="00E145C7">
        <w:rPr>
          <w:rFonts w:ascii="Palatino Linotype" w:hAnsi="Palatino Linotype"/>
          <w:sz w:val="24"/>
          <w:szCs w:val="24"/>
        </w:rPr>
        <w:t>cionalidade</w:t>
      </w:r>
      <w:r w:rsidRPr="00E145C7">
        <w:rPr>
          <w:rFonts w:ascii="Palatino Linotype" w:hAnsi="Palatino Linotype" w:cs="Times New Roman"/>
          <w:sz w:val="24"/>
          <w:szCs w:val="24"/>
        </w:rPr>
        <w:t>. Solução similar é encontrada no Regimento Interno da Câm</w:t>
      </w:r>
      <w:r w:rsidRPr="00E145C7">
        <w:rPr>
          <w:rFonts w:ascii="Palatino Linotype" w:hAnsi="Palatino Linotype" w:cs="Times New Roman"/>
          <w:sz w:val="24"/>
          <w:szCs w:val="24"/>
        </w:rPr>
        <w:t>a</w:t>
      </w:r>
      <w:r w:rsidRPr="00E145C7">
        <w:rPr>
          <w:rFonts w:ascii="Palatino Linotype" w:hAnsi="Palatino Linotype" w:cs="Times New Roman"/>
          <w:sz w:val="24"/>
          <w:szCs w:val="24"/>
        </w:rPr>
        <w:t>ra dos Deputados (art. 137, § 1º) – parlamento em que o controle vem sendo exe</w:t>
      </w:r>
      <w:r w:rsidRPr="00E145C7">
        <w:rPr>
          <w:rFonts w:ascii="Palatino Linotype" w:hAnsi="Palatino Linotype" w:cs="Times New Roman"/>
          <w:sz w:val="24"/>
          <w:szCs w:val="24"/>
        </w:rPr>
        <w:t>r</w:t>
      </w:r>
      <w:r w:rsidRPr="00E145C7">
        <w:rPr>
          <w:rFonts w:ascii="Palatino Linotype" w:hAnsi="Palatino Linotype" w:cs="Times New Roman"/>
          <w:sz w:val="24"/>
          <w:szCs w:val="24"/>
        </w:rPr>
        <w:t>cido – e no Regimento Interno do Senado Federal (art. 48, XI – em que a solução é o arquiv</w:t>
      </w:r>
      <w:r w:rsidRPr="00E145C7">
        <w:rPr>
          <w:rFonts w:ascii="Palatino Linotype" w:hAnsi="Palatino Linotype" w:cs="Times New Roman"/>
          <w:sz w:val="24"/>
          <w:szCs w:val="24"/>
        </w:rPr>
        <w:t>a</w:t>
      </w:r>
      <w:r w:rsidRPr="00E145C7">
        <w:rPr>
          <w:rFonts w:ascii="Palatino Linotype" w:hAnsi="Palatino Linotype" w:cs="Times New Roman"/>
          <w:sz w:val="24"/>
          <w:szCs w:val="24"/>
        </w:rPr>
        <w:t>mento) e em diversos outros regime</w:t>
      </w:r>
      <w:r w:rsidRPr="00E145C7">
        <w:rPr>
          <w:rFonts w:ascii="Palatino Linotype" w:hAnsi="Palatino Linotype" w:cs="Times New Roman"/>
          <w:sz w:val="24"/>
          <w:szCs w:val="24"/>
        </w:rPr>
        <w:t>n</w:t>
      </w:r>
      <w:r w:rsidRPr="00E145C7">
        <w:rPr>
          <w:rFonts w:ascii="Palatino Linotype" w:hAnsi="Palatino Linotype" w:cs="Times New Roman"/>
          <w:sz w:val="24"/>
          <w:szCs w:val="24"/>
        </w:rPr>
        <w:t>tos de casas legislativas pátrias.</w:t>
      </w:r>
    </w:p>
    <w:p w:rsidR="00E567A6" w:rsidRPr="00E145C7" w:rsidRDefault="00E567A6" w:rsidP="00E567A6">
      <w:pPr>
        <w:spacing w:after="0" w:line="360" w:lineRule="auto"/>
        <w:ind w:firstLine="1134"/>
        <w:jc w:val="both"/>
        <w:rPr>
          <w:rFonts w:ascii="Palatino Linotype" w:hAnsi="Palatino Linotype" w:cs="Times New Roman"/>
          <w:sz w:val="24"/>
          <w:szCs w:val="24"/>
        </w:rPr>
      </w:pPr>
    </w:p>
    <w:p w:rsidR="00E567A6" w:rsidRPr="00E145C7" w:rsidRDefault="00E567A6" w:rsidP="00E567A6">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 xml:space="preserve">A doutrina trata do sentido da norma jurídica inscrita no art. </w:t>
      </w:r>
      <w:r w:rsidR="00E145C7">
        <w:rPr>
          <w:rFonts w:ascii="Palatino Linotype" w:hAnsi="Palatino Linotype"/>
          <w:sz w:val="24"/>
          <w:szCs w:val="24"/>
        </w:rPr>
        <w:t>94</w:t>
      </w:r>
      <w:r w:rsidRPr="00E145C7">
        <w:rPr>
          <w:rFonts w:ascii="Palatino Linotype" w:hAnsi="Palatino Linotype"/>
          <w:sz w:val="24"/>
          <w:szCs w:val="24"/>
        </w:rPr>
        <w:t xml:space="preserve"> do Reg</w:t>
      </w:r>
      <w:r w:rsidRPr="00E145C7">
        <w:rPr>
          <w:rFonts w:ascii="Palatino Linotype" w:hAnsi="Palatino Linotype"/>
          <w:sz w:val="24"/>
          <w:szCs w:val="24"/>
        </w:rPr>
        <w:t>i</w:t>
      </w:r>
      <w:r w:rsidRPr="00E145C7">
        <w:rPr>
          <w:rFonts w:ascii="Palatino Linotype" w:hAnsi="Palatino Linotype"/>
          <w:sz w:val="24"/>
          <w:szCs w:val="24"/>
        </w:rPr>
        <w:t>mento Interno caracterizando-o como um controle de constitucionalidade político ou preventivo, sendo tal controle exercido dentro do Parlamento, através de exame pe</w:t>
      </w:r>
      <w:r w:rsidRPr="00E145C7">
        <w:rPr>
          <w:rFonts w:ascii="Palatino Linotype" w:hAnsi="Palatino Linotype"/>
          <w:sz w:val="24"/>
          <w:szCs w:val="24"/>
        </w:rPr>
        <w:t>r</w:t>
      </w:r>
      <w:r w:rsidRPr="00E145C7">
        <w:rPr>
          <w:rFonts w:ascii="Palatino Linotype" w:hAnsi="Palatino Linotype"/>
          <w:sz w:val="24"/>
          <w:szCs w:val="24"/>
        </w:rPr>
        <w:t>functório pela Presidência da Mesa Diretora, considerado controle preventivo de constitucionalidade interno, antes que a proposição possa percorrer todo o trâmite legislativo. Via de regra, a devolução é efetuada mediante despacho fundamentado da Presidência, indicando o artigo constit</w:t>
      </w:r>
      <w:r w:rsidRPr="00E145C7">
        <w:rPr>
          <w:rFonts w:ascii="Palatino Linotype" w:hAnsi="Palatino Linotype"/>
          <w:sz w:val="24"/>
          <w:szCs w:val="24"/>
        </w:rPr>
        <w:t>u</w:t>
      </w:r>
      <w:r w:rsidRPr="00E145C7">
        <w:rPr>
          <w:rFonts w:ascii="Palatino Linotype" w:hAnsi="Palatino Linotype"/>
          <w:sz w:val="24"/>
          <w:szCs w:val="24"/>
        </w:rPr>
        <w:t xml:space="preserve">cional violado, podendo o autor recorrer da decisão ao Plenário (art. </w:t>
      </w:r>
      <w:r w:rsidR="00E145C7">
        <w:rPr>
          <w:rFonts w:ascii="Palatino Linotype" w:hAnsi="Palatino Linotype"/>
          <w:sz w:val="24"/>
          <w:szCs w:val="24"/>
        </w:rPr>
        <w:t>94</w:t>
      </w:r>
      <w:r w:rsidRPr="00E145C7">
        <w:rPr>
          <w:rFonts w:ascii="Palatino Linotype" w:hAnsi="Palatino Linotype"/>
          <w:sz w:val="24"/>
          <w:szCs w:val="24"/>
        </w:rPr>
        <w:t>, parágrafo único).</w:t>
      </w:r>
    </w:p>
    <w:p w:rsidR="0099082C" w:rsidRPr="00E145C7" w:rsidRDefault="0099082C" w:rsidP="00E567A6">
      <w:pPr>
        <w:spacing w:after="0" w:line="360" w:lineRule="auto"/>
        <w:ind w:firstLine="1134"/>
        <w:jc w:val="both"/>
        <w:rPr>
          <w:rFonts w:ascii="Palatino Linotype" w:hAnsi="Palatino Linotype"/>
          <w:sz w:val="24"/>
          <w:szCs w:val="24"/>
        </w:rPr>
      </w:pPr>
    </w:p>
    <w:p w:rsidR="0099082C" w:rsidRPr="00E145C7" w:rsidRDefault="0099082C" w:rsidP="0099082C">
      <w:pPr>
        <w:pStyle w:val="PargrafodaLista"/>
        <w:numPr>
          <w:ilvl w:val="1"/>
          <w:numId w:val="1"/>
        </w:numPr>
        <w:spacing w:after="0" w:line="360" w:lineRule="auto"/>
        <w:jc w:val="both"/>
        <w:rPr>
          <w:rFonts w:ascii="Palatino Linotype" w:hAnsi="Palatino Linotype"/>
          <w:b/>
          <w:sz w:val="24"/>
          <w:szCs w:val="24"/>
        </w:rPr>
      </w:pPr>
      <w:r w:rsidRPr="00E145C7">
        <w:rPr>
          <w:rFonts w:ascii="Palatino Linotype" w:hAnsi="Palatino Linotype"/>
          <w:b/>
          <w:sz w:val="24"/>
          <w:szCs w:val="24"/>
        </w:rPr>
        <w:t>Da competência legislativa municipal</w:t>
      </w:r>
    </w:p>
    <w:p w:rsidR="0099082C" w:rsidRPr="00E145C7" w:rsidRDefault="0099082C" w:rsidP="0099082C">
      <w:pPr>
        <w:spacing w:after="0" w:line="360" w:lineRule="auto"/>
        <w:jc w:val="both"/>
        <w:rPr>
          <w:rFonts w:ascii="Palatino Linotype" w:hAnsi="Palatino Linotype"/>
          <w:b/>
          <w:sz w:val="24"/>
          <w:szCs w:val="24"/>
        </w:rPr>
      </w:pPr>
    </w:p>
    <w:p w:rsidR="0099082C" w:rsidRPr="00E145C7" w:rsidRDefault="0099082C" w:rsidP="0099082C">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A forma federativa de Estado adotada pelo Brasil na CF/88 implica, entre outras consequências, a distribuição de competências materiais e legislativas a todos os entes que a compõem, de acordo com o critério da predominância do interesse: as matérias de interesse geral devem ser atribuídas à União; as de interesse regional devem ser entregues aos Estados e ao DF; as de interesse local, por fim, aos Munic</w:t>
      </w:r>
      <w:r w:rsidRPr="00E145C7">
        <w:rPr>
          <w:rFonts w:ascii="Palatino Linotype" w:hAnsi="Palatino Linotype"/>
          <w:sz w:val="24"/>
          <w:szCs w:val="24"/>
        </w:rPr>
        <w:t>í</w:t>
      </w:r>
      <w:r w:rsidRPr="00E145C7">
        <w:rPr>
          <w:rFonts w:ascii="Palatino Linotype" w:hAnsi="Palatino Linotype"/>
          <w:sz w:val="24"/>
          <w:szCs w:val="24"/>
        </w:rPr>
        <w:t>pios.</w:t>
      </w:r>
    </w:p>
    <w:p w:rsidR="0099082C" w:rsidRPr="00E145C7" w:rsidRDefault="0099082C" w:rsidP="0099082C">
      <w:pPr>
        <w:spacing w:after="0" w:line="360" w:lineRule="auto"/>
        <w:ind w:firstLine="1134"/>
        <w:jc w:val="both"/>
        <w:rPr>
          <w:rFonts w:ascii="Palatino Linotype" w:hAnsi="Palatino Linotype"/>
          <w:sz w:val="24"/>
          <w:szCs w:val="24"/>
        </w:rPr>
      </w:pPr>
    </w:p>
    <w:p w:rsidR="0099082C" w:rsidRPr="00E145C7" w:rsidRDefault="0099082C" w:rsidP="0099082C">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No que concerne às competências legislativas, a CF/88 as divide em: a) privativa (art. 22): atende ao interesse nacional, atribuída apenas à União, com poss</w:t>
      </w:r>
      <w:r w:rsidRPr="00E145C7">
        <w:rPr>
          <w:rFonts w:ascii="Palatino Linotype" w:hAnsi="Palatino Linotype"/>
          <w:sz w:val="24"/>
          <w:szCs w:val="24"/>
        </w:rPr>
        <w:t>i</w:t>
      </w:r>
      <w:r w:rsidRPr="00E145C7">
        <w:rPr>
          <w:rFonts w:ascii="Palatino Linotype" w:hAnsi="Palatino Linotype"/>
          <w:sz w:val="24"/>
          <w:szCs w:val="24"/>
        </w:rPr>
        <w:t>bilidade de o</w:t>
      </w:r>
      <w:r w:rsidRPr="00E145C7">
        <w:rPr>
          <w:rFonts w:ascii="Palatino Linotype" w:hAnsi="Palatino Linotype"/>
          <w:sz w:val="24"/>
          <w:szCs w:val="24"/>
        </w:rPr>
        <w:t>u</w:t>
      </w:r>
      <w:r w:rsidRPr="00E145C7">
        <w:rPr>
          <w:rFonts w:ascii="Palatino Linotype" w:hAnsi="Palatino Linotype"/>
          <w:sz w:val="24"/>
          <w:szCs w:val="24"/>
        </w:rPr>
        <w:t xml:space="preserve">torga aos Estados para legislar sobre pontos específicos, desde que por lei complementar; b) concorrente (art. 24, </w:t>
      </w:r>
      <w:r w:rsidRPr="00E145C7">
        <w:rPr>
          <w:rFonts w:ascii="Palatino Linotype" w:hAnsi="Palatino Linotype"/>
          <w:i/>
          <w:sz w:val="24"/>
          <w:szCs w:val="24"/>
        </w:rPr>
        <w:t>caput</w:t>
      </w:r>
      <w:r w:rsidRPr="00E145C7">
        <w:rPr>
          <w:rFonts w:ascii="Palatino Linotype" w:hAnsi="Palatino Linotype"/>
          <w:sz w:val="24"/>
          <w:szCs w:val="24"/>
        </w:rPr>
        <w:t>): atende ao interesse regional, atrib</w:t>
      </w:r>
      <w:r w:rsidRPr="00E145C7">
        <w:rPr>
          <w:rFonts w:ascii="Palatino Linotype" w:hAnsi="Palatino Linotype"/>
          <w:sz w:val="24"/>
          <w:szCs w:val="24"/>
        </w:rPr>
        <w:t>u</w:t>
      </w:r>
      <w:r w:rsidRPr="00E145C7">
        <w:rPr>
          <w:rFonts w:ascii="Palatino Linotype" w:hAnsi="Palatino Linotype"/>
          <w:sz w:val="24"/>
          <w:szCs w:val="24"/>
        </w:rPr>
        <w:t>ída à União, para legislar sobre normas gerais, e aos Estados e ao DF, para legislar sobre normas específicas; c) excl</w:t>
      </w:r>
      <w:r w:rsidRPr="00E145C7">
        <w:rPr>
          <w:rFonts w:ascii="Palatino Linotype" w:hAnsi="Palatino Linotype"/>
          <w:sz w:val="24"/>
          <w:szCs w:val="24"/>
        </w:rPr>
        <w:t>u</w:t>
      </w:r>
      <w:r w:rsidRPr="00E145C7">
        <w:rPr>
          <w:rFonts w:ascii="Palatino Linotype" w:hAnsi="Palatino Linotype"/>
          <w:sz w:val="24"/>
          <w:szCs w:val="24"/>
        </w:rPr>
        <w:t>siva (art. 30, I): atende ao interesse local, atribuída aos Municípios; d) suplementar (arts. 24, § 2º, e 30, II): garante aos Estados supleme</w:t>
      </w:r>
      <w:r w:rsidRPr="00E145C7">
        <w:rPr>
          <w:rFonts w:ascii="Palatino Linotype" w:hAnsi="Palatino Linotype"/>
          <w:sz w:val="24"/>
          <w:szCs w:val="24"/>
        </w:rPr>
        <w:t>n</w:t>
      </w:r>
      <w:r w:rsidRPr="00E145C7">
        <w:rPr>
          <w:rFonts w:ascii="Palatino Linotype" w:hAnsi="Palatino Linotype"/>
          <w:sz w:val="24"/>
          <w:szCs w:val="24"/>
        </w:rPr>
        <w:t>tar a legislação federal, no que couber, bem como aos Municípios fazer o mesmo em relação às leis federais e estaduais; e) remanescente estadual (art. 25, § 1º): aos Est</w:t>
      </w:r>
      <w:r w:rsidRPr="00E145C7">
        <w:rPr>
          <w:rFonts w:ascii="Palatino Linotype" w:hAnsi="Palatino Linotype"/>
          <w:sz w:val="24"/>
          <w:szCs w:val="24"/>
        </w:rPr>
        <w:t>a</w:t>
      </w:r>
      <w:r w:rsidRPr="00E145C7">
        <w:rPr>
          <w:rFonts w:ascii="Palatino Linotype" w:hAnsi="Palatino Linotype"/>
          <w:sz w:val="24"/>
          <w:szCs w:val="24"/>
        </w:rPr>
        <w:t>dos são atribuídas as competências que não sejam vedadas pela Constituição; f) r</w:t>
      </w:r>
      <w:r w:rsidRPr="00E145C7">
        <w:rPr>
          <w:rFonts w:ascii="Palatino Linotype" w:hAnsi="Palatino Linotype"/>
          <w:sz w:val="24"/>
          <w:szCs w:val="24"/>
        </w:rPr>
        <w:t>e</w:t>
      </w:r>
      <w:r w:rsidRPr="00E145C7">
        <w:rPr>
          <w:rFonts w:ascii="Palatino Linotype" w:hAnsi="Palatino Linotype"/>
          <w:sz w:val="24"/>
          <w:szCs w:val="24"/>
        </w:rPr>
        <w:t>manescente distrital (art. 32, § 1º): ao DF são atribuídas as co</w:t>
      </w:r>
      <w:r w:rsidRPr="00E145C7">
        <w:rPr>
          <w:rFonts w:ascii="Palatino Linotype" w:hAnsi="Palatino Linotype"/>
          <w:sz w:val="24"/>
          <w:szCs w:val="24"/>
        </w:rPr>
        <w:t>m</w:t>
      </w:r>
      <w:r w:rsidRPr="00E145C7">
        <w:rPr>
          <w:rFonts w:ascii="Palatino Linotype" w:hAnsi="Palatino Linotype"/>
          <w:sz w:val="24"/>
          <w:szCs w:val="24"/>
        </w:rPr>
        <w:t>petências legislativas reservadas aos Estados e aos Municípios.</w:t>
      </w:r>
    </w:p>
    <w:p w:rsidR="0099082C" w:rsidRPr="00E145C7" w:rsidRDefault="0099082C" w:rsidP="0099082C">
      <w:pPr>
        <w:spacing w:after="0" w:line="360" w:lineRule="auto"/>
        <w:ind w:firstLine="1134"/>
        <w:jc w:val="both"/>
        <w:rPr>
          <w:rFonts w:ascii="Palatino Linotype" w:hAnsi="Palatino Linotype"/>
          <w:sz w:val="24"/>
          <w:szCs w:val="24"/>
        </w:rPr>
      </w:pPr>
    </w:p>
    <w:p w:rsidR="0099082C" w:rsidRDefault="0099082C" w:rsidP="0099082C">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Em relação à matéria de tributação, a CF/88, de fato, estabelece a comp</w:t>
      </w:r>
      <w:r w:rsidRPr="00E145C7">
        <w:rPr>
          <w:rFonts w:ascii="Palatino Linotype" w:hAnsi="Palatino Linotype"/>
          <w:sz w:val="24"/>
          <w:szCs w:val="24"/>
        </w:rPr>
        <w:t>e</w:t>
      </w:r>
      <w:r w:rsidRPr="00E145C7">
        <w:rPr>
          <w:rFonts w:ascii="Palatino Linotype" w:hAnsi="Palatino Linotype"/>
          <w:sz w:val="24"/>
          <w:szCs w:val="24"/>
        </w:rPr>
        <w:t xml:space="preserve">tência concorrente para a União legislar sobre normas gerais (art. 24, § 1º) e para os Estados e o Distrito Federal suplementá-las (art. 24, § 2º). Ocorre que o art. 30, incisos I e II, da CF/88 é claro ao assegurar aos Municípios a competência para legislar sobre </w:t>
      </w:r>
      <w:r w:rsidRPr="00E145C7">
        <w:rPr>
          <w:rFonts w:ascii="Palatino Linotype" w:hAnsi="Palatino Linotype"/>
          <w:sz w:val="24"/>
          <w:szCs w:val="24"/>
        </w:rPr>
        <w:lastRenderedPageBreak/>
        <w:t>assuntos de interesse local, bem como para suplementar, no que couber, a legislação federal e a estadual. Nesses termos, a interpretação adequada das regras constituci</w:t>
      </w:r>
      <w:r w:rsidRPr="00E145C7">
        <w:rPr>
          <w:rFonts w:ascii="Palatino Linotype" w:hAnsi="Palatino Linotype"/>
          <w:sz w:val="24"/>
          <w:szCs w:val="24"/>
        </w:rPr>
        <w:t>o</w:t>
      </w:r>
      <w:r w:rsidRPr="00E145C7">
        <w:rPr>
          <w:rFonts w:ascii="Palatino Linotype" w:hAnsi="Palatino Linotype"/>
          <w:sz w:val="24"/>
          <w:szCs w:val="24"/>
        </w:rPr>
        <w:t>nais de distribuição de competências é a que</w:t>
      </w:r>
      <w:r w:rsidR="00BC75A8" w:rsidRPr="00E145C7">
        <w:rPr>
          <w:rFonts w:ascii="Palatino Linotype" w:hAnsi="Palatino Linotype"/>
          <w:sz w:val="24"/>
          <w:szCs w:val="24"/>
        </w:rPr>
        <w:t xml:space="preserve"> veda aos Municípios a atividade legisl</w:t>
      </w:r>
      <w:r w:rsidR="00BC75A8" w:rsidRPr="00E145C7">
        <w:rPr>
          <w:rFonts w:ascii="Palatino Linotype" w:hAnsi="Palatino Linotype"/>
          <w:sz w:val="24"/>
          <w:szCs w:val="24"/>
        </w:rPr>
        <w:t>a</w:t>
      </w:r>
      <w:r w:rsidR="00BC75A8" w:rsidRPr="00E145C7">
        <w:rPr>
          <w:rFonts w:ascii="Palatino Linotype" w:hAnsi="Palatino Linotype"/>
          <w:sz w:val="24"/>
          <w:szCs w:val="24"/>
        </w:rPr>
        <w:t xml:space="preserve">tiva apenas sobre matérias que </w:t>
      </w:r>
      <w:r w:rsidRPr="00E145C7">
        <w:rPr>
          <w:rFonts w:ascii="Palatino Linotype" w:hAnsi="Palatino Linotype"/>
          <w:sz w:val="24"/>
          <w:szCs w:val="24"/>
        </w:rPr>
        <w:t>esbarrem na competência privativa do art. 22 da CF</w:t>
      </w:r>
      <w:r w:rsidR="00BC75A8" w:rsidRPr="00E145C7">
        <w:rPr>
          <w:rFonts w:ascii="Palatino Linotype" w:hAnsi="Palatino Linotype"/>
          <w:sz w:val="24"/>
          <w:szCs w:val="24"/>
        </w:rPr>
        <w:t>/88</w:t>
      </w:r>
      <w:r w:rsidRPr="00E145C7">
        <w:rPr>
          <w:rFonts w:ascii="Palatino Linotype" w:hAnsi="Palatino Linotype"/>
          <w:sz w:val="24"/>
          <w:szCs w:val="24"/>
        </w:rPr>
        <w:t>, atribuída rigorosamente à União, nada impedindo, por outro lado, que legi</w:t>
      </w:r>
      <w:r w:rsidRPr="00E145C7">
        <w:rPr>
          <w:rFonts w:ascii="Palatino Linotype" w:hAnsi="Palatino Linotype"/>
          <w:sz w:val="24"/>
          <w:szCs w:val="24"/>
        </w:rPr>
        <w:t>s</w:t>
      </w:r>
      <w:r w:rsidRPr="00E145C7">
        <w:rPr>
          <w:rFonts w:ascii="Palatino Linotype" w:hAnsi="Palatino Linotype"/>
          <w:sz w:val="24"/>
          <w:szCs w:val="24"/>
        </w:rPr>
        <w:t>lem com base no interesse local sobre matérias de comp</w:t>
      </w:r>
      <w:r w:rsidRPr="00E145C7">
        <w:rPr>
          <w:rFonts w:ascii="Palatino Linotype" w:hAnsi="Palatino Linotype"/>
          <w:sz w:val="24"/>
          <w:szCs w:val="24"/>
        </w:rPr>
        <w:t>e</w:t>
      </w:r>
      <w:r w:rsidRPr="00E145C7">
        <w:rPr>
          <w:rFonts w:ascii="Palatino Linotype" w:hAnsi="Palatino Linotype"/>
          <w:sz w:val="24"/>
          <w:szCs w:val="24"/>
        </w:rPr>
        <w:t>tência concorrente</w:t>
      </w:r>
      <w:r w:rsidR="00BC75A8" w:rsidRPr="00E145C7">
        <w:rPr>
          <w:rFonts w:ascii="Palatino Linotype" w:hAnsi="Palatino Linotype"/>
          <w:sz w:val="24"/>
          <w:szCs w:val="24"/>
        </w:rPr>
        <w:t>.</w:t>
      </w:r>
      <w:r w:rsidRPr="00E145C7">
        <w:rPr>
          <w:rFonts w:ascii="Palatino Linotype" w:hAnsi="Palatino Linotype"/>
          <w:sz w:val="24"/>
          <w:szCs w:val="24"/>
        </w:rPr>
        <w:t xml:space="preserve"> Tanto é que, </w:t>
      </w:r>
      <w:r w:rsidR="00BC75A8" w:rsidRPr="00E145C7">
        <w:rPr>
          <w:rFonts w:ascii="Palatino Linotype" w:hAnsi="Palatino Linotype"/>
          <w:sz w:val="24"/>
          <w:szCs w:val="24"/>
        </w:rPr>
        <w:t xml:space="preserve">do contrário, </w:t>
      </w:r>
      <w:r w:rsidRPr="00E145C7">
        <w:rPr>
          <w:rFonts w:ascii="Palatino Linotype" w:hAnsi="Palatino Linotype"/>
          <w:sz w:val="24"/>
          <w:szCs w:val="24"/>
        </w:rPr>
        <w:t>não seria possível a formação dos típicos códigos sanitários</w:t>
      </w:r>
      <w:r w:rsidR="00BC75A8" w:rsidRPr="00E145C7">
        <w:rPr>
          <w:rFonts w:ascii="Palatino Linotype" w:hAnsi="Palatino Linotype"/>
          <w:sz w:val="24"/>
          <w:szCs w:val="24"/>
        </w:rPr>
        <w:t xml:space="preserve"> mun</w:t>
      </w:r>
      <w:r w:rsidR="00BC75A8" w:rsidRPr="00E145C7">
        <w:rPr>
          <w:rFonts w:ascii="Palatino Linotype" w:hAnsi="Palatino Linotype"/>
          <w:sz w:val="24"/>
          <w:szCs w:val="24"/>
        </w:rPr>
        <w:t>i</w:t>
      </w:r>
      <w:r w:rsidR="00BC75A8" w:rsidRPr="00E145C7">
        <w:rPr>
          <w:rFonts w:ascii="Palatino Linotype" w:hAnsi="Palatino Linotype"/>
          <w:sz w:val="24"/>
          <w:szCs w:val="24"/>
        </w:rPr>
        <w:t>cipais</w:t>
      </w:r>
      <w:r w:rsidRPr="00E145C7">
        <w:rPr>
          <w:rFonts w:ascii="Palatino Linotype" w:hAnsi="Palatino Linotype"/>
          <w:sz w:val="24"/>
          <w:szCs w:val="24"/>
        </w:rPr>
        <w:t xml:space="preserve"> (“proteção e defesa da saúde” – art. 24, XII), códigos ambientais (“proteção do meio ambiente” – art. 24, VI), códigos tributários e leis de ordenamento terr</w:t>
      </w:r>
      <w:r w:rsidRPr="00E145C7">
        <w:rPr>
          <w:rFonts w:ascii="Palatino Linotype" w:hAnsi="Palatino Linotype"/>
          <w:sz w:val="24"/>
          <w:szCs w:val="24"/>
        </w:rPr>
        <w:t>i</w:t>
      </w:r>
      <w:r w:rsidRPr="00E145C7">
        <w:rPr>
          <w:rFonts w:ascii="Palatino Linotype" w:hAnsi="Palatino Linotype"/>
          <w:sz w:val="24"/>
          <w:szCs w:val="24"/>
        </w:rPr>
        <w:t>torial (“direito tributário” e “direito urbanístico” – art. 24, I).</w:t>
      </w:r>
    </w:p>
    <w:p w:rsidR="00E145C7" w:rsidRPr="00E145C7" w:rsidRDefault="00E145C7" w:rsidP="0099082C">
      <w:pPr>
        <w:spacing w:after="0" w:line="360" w:lineRule="auto"/>
        <w:ind w:firstLine="1134"/>
        <w:jc w:val="both"/>
        <w:rPr>
          <w:rFonts w:ascii="Palatino Linotype" w:hAnsi="Palatino Linotype"/>
          <w:sz w:val="24"/>
          <w:szCs w:val="24"/>
        </w:rPr>
      </w:pPr>
    </w:p>
    <w:p w:rsidR="0099082C" w:rsidRPr="00E145C7" w:rsidRDefault="0099082C" w:rsidP="0099082C">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Veja-se que, na jurisprudência, é acolhido o entendimento da competência legislativa “suplementar complementar” dos Municípios para legislarem sobre mat</w:t>
      </w:r>
      <w:r w:rsidRPr="00E145C7">
        <w:rPr>
          <w:rFonts w:ascii="Palatino Linotype" w:hAnsi="Palatino Linotype"/>
          <w:sz w:val="24"/>
          <w:szCs w:val="24"/>
        </w:rPr>
        <w:t>é</w:t>
      </w:r>
      <w:r w:rsidRPr="00E145C7">
        <w:rPr>
          <w:rFonts w:ascii="Palatino Linotype" w:hAnsi="Palatino Linotype"/>
          <w:sz w:val="24"/>
          <w:szCs w:val="24"/>
        </w:rPr>
        <w:t>rias versadas no art. 24 da CF/88, desde que no sentido de detalhar regras presentes na legislação federal e estadual, conferindo-lhes maior efetividade:</w:t>
      </w:r>
    </w:p>
    <w:p w:rsidR="0099082C" w:rsidRPr="00E145C7" w:rsidRDefault="0099082C" w:rsidP="0099082C">
      <w:pPr>
        <w:spacing w:after="0" w:line="360" w:lineRule="auto"/>
        <w:ind w:firstLine="1134"/>
        <w:jc w:val="both"/>
        <w:rPr>
          <w:rFonts w:ascii="Palatino Linotype" w:hAnsi="Palatino Linotype"/>
          <w:sz w:val="24"/>
          <w:szCs w:val="24"/>
        </w:rPr>
      </w:pPr>
    </w:p>
    <w:p w:rsidR="0099082C" w:rsidRPr="00E145C7" w:rsidRDefault="0099082C" w:rsidP="0099082C">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AÇÃO DIRETA DE INCONSTITUCIONALIDADE - LEI 10.432/12 DO M</w:t>
      </w:r>
      <w:r w:rsidRPr="00E145C7">
        <w:rPr>
          <w:rFonts w:ascii="Palatino Linotype" w:hAnsi="Palatino Linotype"/>
          <w:sz w:val="20"/>
          <w:szCs w:val="20"/>
        </w:rPr>
        <w:t>U</w:t>
      </w:r>
      <w:r w:rsidRPr="00E145C7">
        <w:rPr>
          <w:rFonts w:ascii="Palatino Linotype" w:hAnsi="Palatino Linotype"/>
          <w:sz w:val="20"/>
          <w:szCs w:val="20"/>
        </w:rPr>
        <w:t>NICÍPIO DE B</w:t>
      </w:r>
      <w:r w:rsidRPr="00E145C7">
        <w:rPr>
          <w:rFonts w:ascii="Palatino Linotype" w:hAnsi="Palatino Linotype"/>
          <w:sz w:val="20"/>
          <w:szCs w:val="20"/>
        </w:rPr>
        <w:t>E</w:t>
      </w:r>
      <w:r w:rsidRPr="00E145C7">
        <w:rPr>
          <w:rFonts w:ascii="Palatino Linotype" w:hAnsi="Palatino Linotype"/>
          <w:sz w:val="20"/>
          <w:szCs w:val="20"/>
        </w:rPr>
        <w:t>LO HORIZONTE - PROIBIÇÃO DE VENDA DE CIGARROS AVULSOS - MATÉRIA DE INTERESSE LOCAL - COMPETÊNCIA LEGI</w:t>
      </w:r>
      <w:r w:rsidRPr="00E145C7">
        <w:rPr>
          <w:rFonts w:ascii="Palatino Linotype" w:hAnsi="Palatino Linotype"/>
          <w:sz w:val="20"/>
          <w:szCs w:val="20"/>
        </w:rPr>
        <w:t>S</w:t>
      </w:r>
      <w:r w:rsidRPr="00E145C7">
        <w:rPr>
          <w:rFonts w:ascii="Palatino Linotype" w:hAnsi="Palatino Linotype"/>
          <w:sz w:val="20"/>
          <w:szCs w:val="20"/>
        </w:rPr>
        <w:t>LATIVA SUPLEMENTAR DO MUNICÍPIO - IMPROCEDÊNCIA DO P</w:t>
      </w:r>
      <w:r w:rsidRPr="00E145C7">
        <w:rPr>
          <w:rFonts w:ascii="Palatino Linotype" w:hAnsi="Palatino Linotype"/>
          <w:sz w:val="20"/>
          <w:szCs w:val="20"/>
        </w:rPr>
        <w:t>E</w:t>
      </w:r>
      <w:r w:rsidRPr="00E145C7">
        <w:rPr>
          <w:rFonts w:ascii="Palatino Linotype" w:hAnsi="Palatino Linotype"/>
          <w:sz w:val="20"/>
          <w:szCs w:val="20"/>
        </w:rPr>
        <w:t xml:space="preserve">DIDO. - </w:t>
      </w:r>
      <w:r w:rsidRPr="00E145C7">
        <w:rPr>
          <w:rFonts w:ascii="Palatino Linotype" w:hAnsi="Palatino Linotype"/>
          <w:b/>
          <w:sz w:val="20"/>
          <w:szCs w:val="20"/>
        </w:rPr>
        <w:t>Embora a competência para legislar sobre produção e consumo s</w:t>
      </w:r>
      <w:r w:rsidRPr="00E145C7">
        <w:rPr>
          <w:rFonts w:ascii="Palatino Linotype" w:hAnsi="Palatino Linotype"/>
          <w:b/>
          <w:sz w:val="20"/>
          <w:szCs w:val="20"/>
        </w:rPr>
        <w:t>e</w:t>
      </w:r>
      <w:r w:rsidRPr="00E145C7">
        <w:rPr>
          <w:rFonts w:ascii="Palatino Linotype" w:hAnsi="Palatino Linotype"/>
          <w:b/>
          <w:sz w:val="20"/>
          <w:szCs w:val="20"/>
        </w:rPr>
        <w:t>ja concorrente entre a União e os Estados, assegura-se ao Município co</w:t>
      </w:r>
      <w:r w:rsidRPr="00E145C7">
        <w:rPr>
          <w:rFonts w:ascii="Palatino Linotype" w:hAnsi="Palatino Linotype"/>
          <w:b/>
          <w:sz w:val="20"/>
          <w:szCs w:val="20"/>
        </w:rPr>
        <w:t>m</w:t>
      </w:r>
      <w:r w:rsidRPr="00E145C7">
        <w:rPr>
          <w:rFonts w:ascii="Palatino Linotype" w:hAnsi="Palatino Linotype"/>
          <w:b/>
          <w:sz w:val="20"/>
          <w:szCs w:val="20"/>
        </w:rPr>
        <w:t>petência para suplementar a legislação federal e estadual no que couber e legislar sobre assuntos de interesse local, nos termos do artigo 30, da CF e artigos 10 e 169, da Constituição Estadual.</w:t>
      </w:r>
      <w:r w:rsidR="00D2559E" w:rsidRPr="00E145C7">
        <w:rPr>
          <w:rFonts w:ascii="Palatino Linotype" w:hAnsi="Palatino Linotype"/>
          <w:sz w:val="20"/>
          <w:szCs w:val="20"/>
        </w:rPr>
        <w:t xml:space="preserve">- </w:t>
      </w:r>
      <w:r w:rsidRPr="00E145C7">
        <w:rPr>
          <w:rFonts w:ascii="Palatino Linotype" w:hAnsi="Palatino Linotype"/>
          <w:sz w:val="20"/>
          <w:szCs w:val="20"/>
        </w:rPr>
        <w:t>Inexiste inconstitucionalidade na Lei 10.432/12, do Município de Belo Horizonte, ao dispor sobre a proib</w:t>
      </w:r>
      <w:r w:rsidRPr="00E145C7">
        <w:rPr>
          <w:rFonts w:ascii="Palatino Linotype" w:hAnsi="Palatino Linotype"/>
          <w:sz w:val="20"/>
          <w:szCs w:val="20"/>
        </w:rPr>
        <w:t>i</w:t>
      </w:r>
      <w:r w:rsidRPr="00E145C7">
        <w:rPr>
          <w:rFonts w:ascii="Palatino Linotype" w:hAnsi="Palatino Linotype"/>
          <w:sz w:val="20"/>
          <w:szCs w:val="20"/>
        </w:rPr>
        <w:t xml:space="preserve">ção da venda de cigarros avulsos, por se tratar de questão afeta a direito do consumidor, de nítido interesse local, </w:t>
      </w:r>
      <w:r w:rsidRPr="00E145C7">
        <w:rPr>
          <w:rFonts w:ascii="Palatino Linotype" w:hAnsi="Palatino Linotype"/>
          <w:b/>
          <w:sz w:val="20"/>
          <w:szCs w:val="20"/>
        </w:rPr>
        <w:t>e por não haver conflito com a legi</w:t>
      </w:r>
      <w:r w:rsidRPr="00E145C7">
        <w:rPr>
          <w:rFonts w:ascii="Palatino Linotype" w:hAnsi="Palatino Linotype"/>
          <w:b/>
          <w:sz w:val="20"/>
          <w:szCs w:val="20"/>
        </w:rPr>
        <w:t>s</w:t>
      </w:r>
      <w:r w:rsidRPr="00E145C7">
        <w:rPr>
          <w:rFonts w:ascii="Palatino Linotype" w:hAnsi="Palatino Linotype"/>
          <w:b/>
          <w:sz w:val="20"/>
          <w:szCs w:val="20"/>
        </w:rPr>
        <w:t>lação federal</w:t>
      </w:r>
      <w:r w:rsidRPr="00E145C7">
        <w:rPr>
          <w:rFonts w:ascii="Palatino Linotype" w:hAnsi="Palatino Linotype"/>
          <w:sz w:val="20"/>
          <w:szCs w:val="20"/>
        </w:rPr>
        <w:t>. - Improcedência da representação. V.V. (TJ-MG - Ação Direta Inconst: 10000120699962000 MG, Relator: Heloisa Combat, Data de Julg</w:t>
      </w:r>
      <w:r w:rsidRPr="00E145C7">
        <w:rPr>
          <w:rFonts w:ascii="Palatino Linotype" w:hAnsi="Palatino Linotype"/>
          <w:sz w:val="20"/>
          <w:szCs w:val="20"/>
        </w:rPr>
        <w:t>a</w:t>
      </w:r>
      <w:r w:rsidRPr="00E145C7">
        <w:rPr>
          <w:rFonts w:ascii="Palatino Linotype" w:hAnsi="Palatino Linotype"/>
          <w:sz w:val="20"/>
          <w:szCs w:val="20"/>
        </w:rPr>
        <w:t xml:space="preserve">mento: 10/04/2013, Órgão Especial / ÓRGÃO ESPECIAL, </w:t>
      </w:r>
      <w:r w:rsidR="00D2559E" w:rsidRPr="00E145C7">
        <w:rPr>
          <w:rFonts w:ascii="Palatino Linotype" w:hAnsi="Palatino Linotype"/>
          <w:sz w:val="20"/>
          <w:szCs w:val="20"/>
        </w:rPr>
        <w:t>Data de Publicação: 17/05/2013)</w:t>
      </w:r>
    </w:p>
    <w:p w:rsidR="0099082C" w:rsidRPr="00E145C7" w:rsidRDefault="0099082C" w:rsidP="0099082C">
      <w:pPr>
        <w:spacing w:after="0" w:line="360" w:lineRule="auto"/>
        <w:ind w:firstLine="1134"/>
        <w:jc w:val="both"/>
        <w:rPr>
          <w:rFonts w:ascii="Palatino Linotype" w:hAnsi="Palatino Linotype"/>
          <w:sz w:val="24"/>
          <w:szCs w:val="24"/>
        </w:rPr>
      </w:pPr>
    </w:p>
    <w:p w:rsidR="0099082C" w:rsidRPr="00E145C7" w:rsidRDefault="0099082C" w:rsidP="0099082C">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DIREITO CONSTITUCIONAL. REPRESENTAÇÃO POR INCONSTIT</w:t>
      </w:r>
      <w:r w:rsidRPr="00E145C7">
        <w:rPr>
          <w:rFonts w:ascii="Palatino Linotype" w:hAnsi="Palatino Linotype"/>
          <w:sz w:val="20"/>
          <w:szCs w:val="20"/>
        </w:rPr>
        <w:t>U</w:t>
      </w:r>
      <w:r w:rsidRPr="00E145C7">
        <w:rPr>
          <w:rFonts w:ascii="Palatino Linotype" w:hAnsi="Palatino Linotype"/>
          <w:sz w:val="20"/>
          <w:szCs w:val="20"/>
        </w:rPr>
        <w:t xml:space="preserve">CIONALIDADE. LEI 5.555/13 DO MUNICÍPIO DO RIO DE JANEIRO. </w:t>
      </w:r>
      <w:r w:rsidRPr="00E145C7">
        <w:rPr>
          <w:rFonts w:ascii="Palatino Linotype" w:hAnsi="Palatino Linotype"/>
          <w:sz w:val="20"/>
          <w:szCs w:val="20"/>
        </w:rPr>
        <w:lastRenderedPageBreak/>
        <w:t>COMPETÊNCIA LEGISLATIVA SUPLEMENTAR MUNICIPAL. ALCA</w:t>
      </w:r>
      <w:r w:rsidRPr="00E145C7">
        <w:rPr>
          <w:rFonts w:ascii="Palatino Linotype" w:hAnsi="Palatino Linotype"/>
          <w:sz w:val="20"/>
          <w:szCs w:val="20"/>
        </w:rPr>
        <w:t>N</w:t>
      </w:r>
      <w:r w:rsidRPr="00E145C7">
        <w:rPr>
          <w:rFonts w:ascii="Palatino Linotype" w:hAnsi="Palatino Linotype"/>
          <w:sz w:val="20"/>
          <w:szCs w:val="20"/>
        </w:rPr>
        <w:t xml:space="preserve">CE. </w:t>
      </w:r>
      <w:r w:rsidR="00BC75A8" w:rsidRPr="00E145C7">
        <w:rPr>
          <w:rFonts w:ascii="Palatino Linotype" w:hAnsi="Palatino Linotype"/>
          <w:sz w:val="20"/>
          <w:szCs w:val="20"/>
        </w:rPr>
        <w:t>[...]</w:t>
      </w:r>
      <w:r w:rsidR="00FB7B47" w:rsidRPr="00E145C7">
        <w:rPr>
          <w:rFonts w:ascii="Palatino Linotype" w:hAnsi="Palatino Linotype"/>
          <w:sz w:val="20"/>
          <w:szCs w:val="20"/>
        </w:rPr>
        <w:t xml:space="preserve"> </w:t>
      </w:r>
      <w:r w:rsidRPr="00E145C7">
        <w:rPr>
          <w:rFonts w:ascii="Palatino Linotype" w:hAnsi="Palatino Linotype"/>
          <w:b/>
          <w:sz w:val="20"/>
          <w:szCs w:val="20"/>
        </w:rPr>
        <w:t>1. Decorre da competência legislativa municipal suplementar (CRFB, art. 30, II, e CERJ, art. 358, II) Município editar lei que s</w:t>
      </w:r>
      <w:r w:rsidRPr="00E145C7">
        <w:rPr>
          <w:rFonts w:ascii="Palatino Linotype" w:hAnsi="Palatino Linotype"/>
          <w:b/>
          <w:sz w:val="20"/>
          <w:szCs w:val="20"/>
        </w:rPr>
        <w:t>u</w:t>
      </w:r>
      <w:r w:rsidRPr="00E145C7">
        <w:rPr>
          <w:rFonts w:ascii="Palatino Linotype" w:hAnsi="Palatino Linotype"/>
          <w:b/>
          <w:sz w:val="20"/>
          <w:szCs w:val="20"/>
        </w:rPr>
        <w:t>plemente, no que couber, atos legislativos da competência concorrente da União, dos Estados e do Distrito Federal, logo, daquela e do Estado do Rio de Janeiro, sobre responsabilidade por dano ao meio ambiente, ao consumidor, a bens e direitos de valor artístico, estético, histórico, turístico e paisagístico e s</w:t>
      </w:r>
      <w:r w:rsidRPr="00E145C7">
        <w:rPr>
          <w:rFonts w:ascii="Palatino Linotype" w:hAnsi="Palatino Linotype"/>
          <w:b/>
          <w:sz w:val="20"/>
          <w:szCs w:val="20"/>
        </w:rPr>
        <w:t>o</w:t>
      </w:r>
      <w:r w:rsidRPr="00E145C7">
        <w:rPr>
          <w:rFonts w:ascii="Palatino Linotype" w:hAnsi="Palatino Linotype"/>
          <w:b/>
          <w:sz w:val="20"/>
          <w:szCs w:val="20"/>
        </w:rPr>
        <w:t>bre previdência social, proteção e defesa da saúde (incisos VIII e XII dos arts. 24 e 74, respectivamente das Constituições da República e flumine</w:t>
      </w:r>
      <w:r w:rsidRPr="00E145C7">
        <w:rPr>
          <w:rFonts w:ascii="Palatino Linotype" w:hAnsi="Palatino Linotype"/>
          <w:b/>
          <w:sz w:val="20"/>
          <w:szCs w:val="20"/>
        </w:rPr>
        <w:t>n</w:t>
      </w:r>
      <w:r w:rsidRPr="00E145C7">
        <w:rPr>
          <w:rFonts w:ascii="Palatino Linotype" w:hAnsi="Palatino Linotype"/>
          <w:b/>
          <w:sz w:val="20"/>
          <w:szCs w:val="20"/>
        </w:rPr>
        <w:t>se)</w:t>
      </w:r>
      <w:r w:rsidRPr="00E145C7">
        <w:rPr>
          <w:rFonts w:ascii="Palatino Linotype" w:hAnsi="Palatino Linotype"/>
          <w:sz w:val="20"/>
          <w:szCs w:val="20"/>
        </w:rPr>
        <w:t xml:space="preserve">; precedentes do STF. </w:t>
      </w:r>
      <w:r w:rsidRPr="00E145C7">
        <w:rPr>
          <w:rFonts w:ascii="Palatino Linotype" w:hAnsi="Palatino Linotype"/>
          <w:b/>
          <w:sz w:val="20"/>
          <w:szCs w:val="20"/>
        </w:rPr>
        <w:t>2. Basta interesse também local, não uma especif</w:t>
      </w:r>
      <w:r w:rsidRPr="00E145C7">
        <w:rPr>
          <w:rFonts w:ascii="Palatino Linotype" w:hAnsi="Palatino Linotype"/>
          <w:b/>
          <w:sz w:val="20"/>
          <w:szCs w:val="20"/>
        </w:rPr>
        <w:t>i</w:t>
      </w:r>
      <w:r w:rsidRPr="00E145C7">
        <w:rPr>
          <w:rFonts w:ascii="Palatino Linotype" w:hAnsi="Palatino Linotype"/>
          <w:b/>
          <w:sz w:val="20"/>
          <w:szCs w:val="20"/>
        </w:rPr>
        <w:t>cidade municipal, para que Município possa exercer competência legisl</w:t>
      </w:r>
      <w:r w:rsidRPr="00E145C7">
        <w:rPr>
          <w:rFonts w:ascii="Palatino Linotype" w:hAnsi="Palatino Linotype"/>
          <w:b/>
          <w:sz w:val="20"/>
          <w:szCs w:val="20"/>
        </w:rPr>
        <w:t>a</w:t>
      </w:r>
      <w:r w:rsidRPr="00E145C7">
        <w:rPr>
          <w:rFonts w:ascii="Palatino Linotype" w:hAnsi="Palatino Linotype"/>
          <w:b/>
          <w:sz w:val="20"/>
          <w:szCs w:val="20"/>
        </w:rPr>
        <w:t xml:space="preserve">tiva suplementar; </w:t>
      </w:r>
      <w:r w:rsidRPr="00E145C7">
        <w:rPr>
          <w:rFonts w:ascii="Palatino Linotype" w:hAnsi="Palatino Linotype"/>
          <w:b/>
          <w:sz w:val="20"/>
          <w:szCs w:val="20"/>
          <w:u w:val="single"/>
        </w:rPr>
        <w:t>o descabimento só se configura quando a lei municipal dispõe mais do que a ordem normativa a ser por ela suplementada ou quando a lei do Município entra em conflito com o ordenamento constit</w:t>
      </w:r>
      <w:r w:rsidRPr="00E145C7">
        <w:rPr>
          <w:rFonts w:ascii="Palatino Linotype" w:hAnsi="Palatino Linotype"/>
          <w:b/>
          <w:sz w:val="20"/>
          <w:szCs w:val="20"/>
          <w:u w:val="single"/>
        </w:rPr>
        <w:t>u</w:t>
      </w:r>
      <w:r w:rsidRPr="00E145C7">
        <w:rPr>
          <w:rFonts w:ascii="Palatino Linotype" w:hAnsi="Palatino Linotype"/>
          <w:b/>
          <w:sz w:val="20"/>
          <w:szCs w:val="20"/>
          <w:u w:val="single"/>
        </w:rPr>
        <w:t>cional e/ou infraconstitucional federal e/ou estadual.</w:t>
      </w:r>
      <w:r w:rsidR="00FB7B47" w:rsidRPr="00E145C7">
        <w:rPr>
          <w:rFonts w:ascii="Palatino Linotype" w:hAnsi="Palatino Linotype"/>
          <w:sz w:val="20"/>
          <w:szCs w:val="20"/>
        </w:rPr>
        <w:t xml:space="preserve"> </w:t>
      </w:r>
      <w:r w:rsidRPr="00E145C7">
        <w:rPr>
          <w:rFonts w:ascii="Palatino Linotype" w:hAnsi="Palatino Linotype"/>
          <w:sz w:val="20"/>
          <w:szCs w:val="20"/>
        </w:rPr>
        <w:t>[...] 6. Representação que se julga improcedente. (TJ-RJ - ADI: 00527701420138190000 RJ 0052770-14.2013.8.19.0000, Relator: DES. FERNANDO FOCH DE LEMOS ARIGONY DA SILVA, Data de Julgamento: 05/05/2014, OE - SECRE</w:t>
      </w:r>
      <w:r w:rsidR="00D2559E" w:rsidRPr="00E145C7">
        <w:rPr>
          <w:rFonts w:ascii="Palatino Linotype" w:hAnsi="Palatino Linotype"/>
          <w:sz w:val="20"/>
          <w:szCs w:val="20"/>
        </w:rPr>
        <w:t>TARIA DO TR</w:t>
      </w:r>
      <w:r w:rsidR="00D2559E" w:rsidRPr="00E145C7">
        <w:rPr>
          <w:rFonts w:ascii="Palatino Linotype" w:hAnsi="Palatino Linotype"/>
          <w:sz w:val="20"/>
          <w:szCs w:val="20"/>
        </w:rPr>
        <w:t>I</w:t>
      </w:r>
      <w:r w:rsidR="00D2559E" w:rsidRPr="00E145C7">
        <w:rPr>
          <w:rFonts w:ascii="Palatino Linotype" w:hAnsi="Palatino Linotype"/>
          <w:sz w:val="20"/>
          <w:szCs w:val="20"/>
        </w:rPr>
        <w:t>BUNAL PLENO E ÓRGÃ</w:t>
      </w:r>
      <w:r w:rsidRPr="00E145C7">
        <w:rPr>
          <w:rFonts w:ascii="Palatino Linotype" w:hAnsi="Palatino Linotype"/>
          <w:sz w:val="20"/>
          <w:szCs w:val="20"/>
        </w:rPr>
        <w:t>O ESPECIAL, Data de Publicação: 10/06/2014</w:t>
      </w:r>
      <w:r w:rsidR="00D2559E" w:rsidRPr="00E145C7">
        <w:rPr>
          <w:rFonts w:ascii="Palatino Linotype" w:hAnsi="Palatino Linotype"/>
          <w:sz w:val="20"/>
          <w:szCs w:val="20"/>
        </w:rPr>
        <w:t>)</w:t>
      </w:r>
    </w:p>
    <w:p w:rsidR="0099082C" w:rsidRPr="00E145C7" w:rsidRDefault="0099082C" w:rsidP="0099082C">
      <w:pPr>
        <w:spacing w:after="0" w:line="360" w:lineRule="auto"/>
        <w:ind w:firstLine="1134"/>
        <w:jc w:val="both"/>
        <w:rPr>
          <w:rFonts w:ascii="Palatino Linotype" w:hAnsi="Palatino Linotype"/>
          <w:sz w:val="24"/>
          <w:szCs w:val="24"/>
        </w:rPr>
      </w:pPr>
    </w:p>
    <w:p w:rsidR="0099082C" w:rsidRDefault="0099082C" w:rsidP="0099082C">
      <w:pPr>
        <w:spacing w:after="0" w:line="360" w:lineRule="auto"/>
        <w:ind w:firstLine="1134"/>
        <w:jc w:val="both"/>
        <w:rPr>
          <w:rFonts w:ascii="Palatino Linotype" w:hAnsi="Palatino Linotype"/>
          <w:b/>
          <w:sz w:val="24"/>
          <w:szCs w:val="24"/>
        </w:rPr>
      </w:pPr>
      <w:r w:rsidRPr="00E145C7">
        <w:rPr>
          <w:rFonts w:ascii="Palatino Linotype" w:hAnsi="Palatino Linotype"/>
          <w:sz w:val="24"/>
          <w:szCs w:val="24"/>
        </w:rPr>
        <w:t>Portanto, consoante fundamentam as decisões acima transcritas, em que pese a matéria</w:t>
      </w:r>
      <w:r w:rsidR="00D2559E" w:rsidRPr="00E145C7">
        <w:rPr>
          <w:rFonts w:ascii="Palatino Linotype" w:hAnsi="Palatino Linotype"/>
          <w:sz w:val="24"/>
          <w:szCs w:val="24"/>
        </w:rPr>
        <w:t xml:space="preserve"> de</w:t>
      </w:r>
      <w:r w:rsidR="00FB7B47" w:rsidRPr="00E145C7">
        <w:rPr>
          <w:rFonts w:ascii="Palatino Linotype" w:hAnsi="Palatino Linotype"/>
          <w:sz w:val="24"/>
          <w:szCs w:val="24"/>
        </w:rPr>
        <w:t xml:space="preserve"> </w:t>
      </w:r>
      <w:r w:rsidR="00BC75A8" w:rsidRPr="00E145C7">
        <w:rPr>
          <w:rFonts w:ascii="Palatino Linotype" w:hAnsi="Palatino Linotype"/>
          <w:sz w:val="24"/>
          <w:szCs w:val="24"/>
        </w:rPr>
        <w:t xml:space="preserve">tributação </w:t>
      </w:r>
      <w:r w:rsidRPr="00E145C7">
        <w:rPr>
          <w:rFonts w:ascii="Palatino Linotype" w:hAnsi="Palatino Linotype"/>
          <w:sz w:val="24"/>
          <w:szCs w:val="24"/>
        </w:rPr>
        <w:t>esteja presente no art. 24 da CF/88 como competência legislativa co</w:t>
      </w:r>
      <w:r w:rsidRPr="00E145C7">
        <w:rPr>
          <w:rFonts w:ascii="Palatino Linotype" w:hAnsi="Palatino Linotype"/>
          <w:sz w:val="24"/>
          <w:szCs w:val="24"/>
        </w:rPr>
        <w:t>n</w:t>
      </w:r>
      <w:r w:rsidRPr="00E145C7">
        <w:rPr>
          <w:rFonts w:ascii="Palatino Linotype" w:hAnsi="Palatino Linotype"/>
          <w:sz w:val="24"/>
          <w:szCs w:val="24"/>
        </w:rPr>
        <w:t>corrente da União, do Distrito Federal e dos Estados, os Municípios, no estrito interesse l</w:t>
      </w:r>
      <w:r w:rsidRPr="00E145C7">
        <w:rPr>
          <w:rFonts w:ascii="Palatino Linotype" w:hAnsi="Palatino Linotype"/>
          <w:sz w:val="24"/>
          <w:szCs w:val="24"/>
        </w:rPr>
        <w:t>o</w:t>
      </w:r>
      <w:r w:rsidRPr="00E145C7">
        <w:rPr>
          <w:rFonts w:ascii="Palatino Linotype" w:hAnsi="Palatino Linotype"/>
          <w:sz w:val="24"/>
          <w:szCs w:val="24"/>
        </w:rPr>
        <w:t xml:space="preserve">cal, podem legislar sobre o tema, </w:t>
      </w:r>
      <w:r w:rsidRPr="00E145C7">
        <w:rPr>
          <w:rFonts w:ascii="Palatino Linotype" w:hAnsi="Palatino Linotype"/>
          <w:b/>
          <w:sz w:val="24"/>
          <w:szCs w:val="24"/>
        </w:rPr>
        <w:t>atentando para não extrapolar o âmbito local e para não entrar em conflito com normas constitucionais ou infr</w:t>
      </w:r>
      <w:r w:rsidRPr="00E145C7">
        <w:rPr>
          <w:rFonts w:ascii="Palatino Linotype" w:hAnsi="Palatino Linotype"/>
          <w:b/>
          <w:sz w:val="24"/>
          <w:szCs w:val="24"/>
        </w:rPr>
        <w:t>a</w:t>
      </w:r>
      <w:r w:rsidRPr="00E145C7">
        <w:rPr>
          <w:rFonts w:ascii="Palatino Linotype" w:hAnsi="Palatino Linotype"/>
          <w:b/>
          <w:sz w:val="24"/>
          <w:szCs w:val="24"/>
        </w:rPr>
        <w:t>constitucionais.</w:t>
      </w:r>
    </w:p>
    <w:p w:rsidR="00E145C7" w:rsidRPr="00E145C7" w:rsidRDefault="00E145C7" w:rsidP="0099082C">
      <w:pPr>
        <w:spacing w:after="0" w:line="360" w:lineRule="auto"/>
        <w:ind w:firstLine="1134"/>
        <w:jc w:val="both"/>
        <w:rPr>
          <w:rFonts w:ascii="Palatino Linotype" w:hAnsi="Palatino Linotype"/>
          <w:sz w:val="24"/>
          <w:szCs w:val="24"/>
        </w:rPr>
      </w:pPr>
    </w:p>
    <w:p w:rsidR="00536F72" w:rsidRPr="00E145C7" w:rsidRDefault="00536F72" w:rsidP="008D5EE7">
      <w:pPr>
        <w:spacing w:after="0" w:line="360" w:lineRule="auto"/>
        <w:ind w:firstLine="1134"/>
        <w:jc w:val="both"/>
        <w:rPr>
          <w:rFonts w:ascii="Palatino Linotype" w:hAnsi="Palatino Linotype"/>
          <w:b/>
          <w:sz w:val="24"/>
          <w:szCs w:val="24"/>
        </w:rPr>
      </w:pPr>
      <w:r w:rsidRPr="00E145C7">
        <w:rPr>
          <w:rFonts w:ascii="Palatino Linotype" w:hAnsi="Palatino Linotype"/>
          <w:b/>
          <w:sz w:val="24"/>
          <w:szCs w:val="24"/>
        </w:rPr>
        <w:t>2.2 Da iniciativa do processo legislativo</w:t>
      </w:r>
    </w:p>
    <w:p w:rsidR="0099082C" w:rsidRPr="00E145C7" w:rsidRDefault="0099082C" w:rsidP="008D5EE7">
      <w:pPr>
        <w:spacing w:after="0" w:line="360" w:lineRule="auto"/>
        <w:ind w:firstLine="1134"/>
        <w:jc w:val="both"/>
        <w:rPr>
          <w:rFonts w:ascii="Palatino Linotype" w:hAnsi="Palatino Linotype"/>
          <w:sz w:val="24"/>
          <w:szCs w:val="24"/>
        </w:rPr>
      </w:pPr>
    </w:p>
    <w:p w:rsidR="008D5EE7" w:rsidRPr="00E145C7" w:rsidRDefault="00E567A6" w:rsidP="008D5EE7">
      <w:pPr>
        <w:spacing w:after="0" w:line="360" w:lineRule="auto"/>
        <w:ind w:firstLine="1134"/>
        <w:jc w:val="both"/>
        <w:rPr>
          <w:rFonts w:ascii="Palatino Linotype" w:hAnsi="Palatino Linotype"/>
          <w:sz w:val="20"/>
          <w:szCs w:val="20"/>
        </w:rPr>
      </w:pPr>
      <w:r w:rsidRPr="00E145C7">
        <w:rPr>
          <w:rFonts w:ascii="Palatino Linotype" w:hAnsi="Palatino Linotype"/>
          <w:sz w:val="24"/>
          <w:szCs w:val="24"/>
        </w:rPr>
        <w:t>Q</w:t>
      </w:r>
      <w:r w:rsidR="005D24B9" w:rsidRPr="00E145C7">
        <w:rPr>
          <w:rFonts w:ascii="Palatino Linotype" w:hAnsi="Palatino Linotype"/>
          <w:sz w:val="24"/>
          <w:szCs w:val="24"/>
        </w:rPr>
        <w:t xml:space="preserve">uanto à iniciativa legislativa, </w:t>
      </w:r>
      <w:r w:rsidR="008D5EE7" w:rsidRPr="00E145C7">
        <w:rPr>
          <w:rFonts w:ascii="Palatino Linotype" w:hAnsi="Palatino Linotype"/>
          <w:sz w:val="24"/>
          <w:szCs w:val="24"/>
        </w:rPr>
        <w:t>cumpre salientar que, segundo o entend</w:t>
      </w:r>
      <w:r w:rsidR="008D5EE7" w:rsidRPr="00E145C7">
        <w:rPr>
          <w:rFonts w:ascii="Palatino Linotype" w:hAnsi="Palatino Linotype"/>
          <w:sz w:val="24"/>
          <w:szCs w:val="24"/>
        </w:rPr>
        <w:t>i</w:t>
      </w:r>
      <w:r w:rsidR="008D5EE7" w:rsidRPr="00E145C7">
        <w:rPr>
          <w:rFonts w:ascii="Palatino Linotype" w:hAnsi="Palatino Linotype"/>
          <w:sz w:val="24"/>
          <w:szCs w:val="24"/>
        </w:rPr>
        <w:t>mento jurisprudencial dominante, cabe ao Município a responsabilidade pela</w:t>
      </w:r>
      <w:r w:rsidR="00FB7B47" w:rsidRPr="00E145C7">
        <w:rPr>
          <w:rFonts w:ascii="Palatino Linotype" w:hAnsi="Palatino Linotype"/>
          <w:sz w:val="24"/>
          <w:szCs w:val="24"/>
        </w:rPr>
        <w:t xml:space="preserve"> </w:t>
      </w:r>
      <w:r w:rsidR="008D5EE7" w:rsidRPr="00E145C7">
        <w:rPr>
          <w:rFonts w:ascii="Palatino Linotype" w:hAnsi="Palatino Linotype"/>
          <w:sz w:val="24"/>
          <w:szCs w:val="24"/>
        </w:rPr>
        <w:t>cons</w:t>
      </w:r>
      <w:r w:rsidR="008D5EE7" w:rsidRPr="00E145C7">
        <w:rPr>
          <w:rFonts w:ascii="Palatino Linotype" w:hAnsi="Palatino Linotype"/>
          <w:sz w:val="24"/>
          <w:szCs w:val="24"/>
        </w:rPr>
        <w:t>e</w:t>
      </w:r>
      <w:r w:rsidR="008D5EE7" w:rsidRPr="00E145C7">
        <w:rPr>
          <w:rFonts w:ascii="Palatino Linotype" w:hAnsi="Palatino Linotype"/>
          <w:sz w:val="24"/>
          <w:szCs w:val="24"/>
        </w:rPr>
        <w:t>cução de sua l</w:t>
      </w:r>
      <w:r w:rsidR="008D5EE7" w:rsidRPr="00E145C7">
        <w:rPr>
          <w:rFonts w:ascii="Palatino Linotype" w:hAnsi="Palatino Linotype"/>
          <w:sz w:val="24"/>
          <w:szCs w:val="24"/>
        </w:rPr>
        <w:t>e</w:t>
      </w:r>
      <w:r w:rsidR="008D5EE7" w:rsidRPr="00E145C7">
        <w:rPr>
          <w:rFonts w:ascii="Palatino Linotype" w:hAnsi="Palatino Linotype"/>
          <w:sz w:val="24"/>
          <w:szCs w:val="24"/>
        </w:rPr>
        <w:t>gislação tributária, pertencendo ao Executivo, ao Legislativo e, ainda, à população, através de iniciativa popular, a</w:t>
      </w:r>
      <w:r w:rsidR="00FB7B47" w:rsidRPr="00E145C7">
        <w:rPr>
          <w:rFonts w:ascii="Palatino Linotype" w:hAnsi="Palatino Linotype"/>
          <w:sz w:val="24"/>
          <w:szCs w:val="24"/>
        </w:rPr>
        <w:t xml:space="preserve"> </w:t>
      </w:r>
      <w:r w:rsidR="003F04B9" w:rsidRPr="00E145C7">
        <w:rPr>
          <w:rFonts w:ascii="Palatino Linotype" w:hAnsi="Palatino Linotype"/>
          <w:sz w:val="24"/>
          <w:szCs w:val="24"/>
        </w:rPr>
        <w:t xml:space="preserve">deflagração </w:t>
      </w:r>
      <w:r w:rsidR="008D5EE7" w:rsidRPr="00E145C7">
        <w:rPr>
          <w:rFonts w:ascii="Palatino Linotype" w:hAnsi="Palatino Linotype"/>
          <w:sz w:val="24"/>
          <w:szCs w:val="24"/>
        </w:rPr>
        <w:t>dos referidos projetos, por não haver restrição expressa à iniciativa para matéria tributária:</w:t>
      </w:r>
    </w:p>
    <w:p w:rsidR="008D5EE7" w:rsidRPr="00E145C7" w:rsidRDefault="008D5EE7" w:rsidP="008D5EE7">
      <w:pPr>
        <w:spacing w:after="0" w:line="360" w:lineRule="auto"/>
        <w:ind w:left="2268"/>
        <w:jc w:val="both"/>
        <w:rPr>
          <w:rFonts w:ascii="Palatino Linotype" w:hAnsi="Palatino Linotype"/>
          <w:sz w:val="20"/>
          <w:szCs w:val="20"/>
        </w:rPr>
      </w:pPr>
    </w:p>
    <w:p w:rsidR="008D5EE7" w:rsidRPr="00E145C7" w:rsidRDefault="008D5EE7" w:rsidP="008D5EE7">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lastRenderedPageBreak/>
        <w:t>EMBARGOS DE DECLARAÇÃO OPOSTOS DE DECISÃO MONOCRÁT</w:t>
      </w:r>
      <w:r w:rsidRPr="00E145C7">
        <w:rPr>
          <w:rFonts w:ascii="Palatino Linotype" w:hAnsi="Palatino Linotype"/>
          <w:sz w:val="20"/>
          <w:szCs w:val="20"/>
        </w:rPr>
        <w:t>I</w:t>
      </w:r>
      <w:r w:rsidRPr="00E145C7">
        <w:rPr>
          <w:rFonts w:ascii="Palatino Linotype" w:hAnsi="Palatino Linotype"/>
          <w:sz w:val="20"/>
          <w:szCs w:val="20"/>
        </w:rPr>
        <w:t>CA. CONVERSÃO EM AGRAVO REGIMENTAL. PROCESSO LEGISLAT</w:t>
      </w:r>
      <w:r w:rsidRPr="00E145C7">
        <w:rPr>
          <w:rFonts w:ascii="Palatino Linotype" w:hAnsi="Palatino Linotype"/>
          <w:sz w:val="20"/>
          <w:szCs w:val="20"/>
        </w:rPr>
        <w:t>I</w:t>
      </w:r>
      <w:r w:rsidRPr="00E145C7">
        <w:rPr>
          <w:rFonts w:ascii="Palatino Linotype" w:hAnsi="Palatino Linotype"/>
          <w:sz w:val="20"/>
          <w:szCs w:val="20"/>
        </w:rPr>
        <w:t>VO. NORMAS SOBRE DIREITO TRIBUTÁRIO. INICIATIVA CONCO</w:t>
      </w:r>
      <w:r w:rsidRPr="00E145C7">
        <w:rPr>
          <w:rFonts w:ascii="Palatino Linotype" w:hAnsi="Palatino Linotype"/>
          <w:sz w:val="20"/>
          <w:szCs w:val="20"/>
        </w:rPr>
        <w:t>R</w:t>
      </w:r>
      <w:r w:rsidRPr="00E145C7">
        <w:rPr>
          <w:rFonts w:ascii="Palatino Linotype" w:hAnsi="Palatino Linotype"/>
          <w:sz w:val="20"/>
          <w:szCs w:val="20"/>
        </w:rPr>
        <w:t>RENTE ENTRE O CHEFE DO PODER EXECUTIVO E OS MEMBROS DO LEGISLATIVO. POSSIBILIDADE DE LEI QUE VERSE SOBRE O TEMA PERCUTIR NO ORÇAMENTO DO ENTE FEDERADO. IRRELEVÂNCIA PARA FINS DE DEFINIÇÃO DOS LEGITIMADOS PARA A INSTAUR</w:t>
      </w:r>
      <w:r w:rsidRPr="00E145C7">
        <w:rPr>
          <w:rFonts w:ascii="Palatino Linotype" w:hAnsi="Palatino Linotype"/>
          <w:sz w:val="20"/>
          <w:szCs w:val="20"/>
        </w:rPr>
        <w:t>A</w:t>
      </w:r>
      <w:r w:rsidRPr="00E145C7">
        <w:rPr>
          <w:rFonts w:ascii="Palatino Linotype" w:hAnsi="Palatino Linotype"/>
          <w:sz w:val="20"/>
          <w:szCs w:val="20"/>
        </w:rPr>
        <w:t xml:space="preserve">ÇÃO DO PROCESSO LEGISLATIVO. AGRAVO IMPROVIDO. </w:t>
      </w:r>
      <w:r w:rsidRPr="00E145C7">
        <w:rPr>
          <w:rFonts w:ascii="Palatino Linotype" w:hAnsi="Palatino Linotype"/>
          <w:b/>
          <w:sz w:val="20"/>
          <w:szCs w:val="20"/>
        </w:rPr>
        <w:t>I. A iniciat</w:t>
      </w:r>
      <w:r w:rsidRPr="00E145C7">
        <w:rPr>
          <w:rFonts w:ascii="Palatino Linotype" w:hAnsi="Palatino Linotype"/>
          <w:b/>
          <w:sz w:val="20"/>
          <w:szCs w:val="20"/>
        </w:rPr>
        <w:t>i</w:t>
      </w:r>
      <w:r w:rsidRPr="00E145C7">
        <w:rPr>
          <w:rFonts w:ascii="Palatino Linotype" w:hAnsi="Palatino Linotype"/>
          <w:b/>
          <w:sz w:val="20"/>
          <w:szCs w:val="20"/>
        </w:rPr>
        <w:t>va de leis que versem sobre matéria tributária é concorrente entre o chefe do poder executivo e os membros do legislativo. II. A circunstância de as leis que versem sobre matéria tributária poderem repercutir no orçamento do ente federado não conduz à conclusão de que sua iniciativa é privativa do chefe do executivo.</w:t>
      </w:r>
      <w:r w:rsidRPr="00E145C7">
        <w:rPr>
          <w:rFonts w:ascii="Palatino Linotype" w:hAnsi="Palatino Linotype"/>
          <w:sz w:val="20"/>
          <w:szCs w:val="20"/>
        </w:rPr>
        <w:t xml:space="preserve"> III. Agravo Regimental improvido. (STF - RE: 590697 MG, Relator: Min. RICARDO LEWANDOWSKI, Data de Julgamento: 23/08/2011, Segunda Turma, Data de Publicação: DJe-171 DIVULG 05-09-2011 P</w:t>
      </w:r>
      <w:r w:rsidRPr="00E145C7">
        <w:rPr>
          <w:rFonts w:ascii="Palatino Linotype" w:hAnsi="Palatino Linotype"/>
          <w:sz w:val="20"/>
          <w:szCs w:val="20"/>
        </w:rPr>
        <w:t>U</w:t>
      </w:r>
      <w:r w:rsidRPr="00E145C7">
        <w:rPr>
          <w:rFonts w:ascii="Palatino Linotype" w:hAnsi="Palatino Linotype"/>
          <w:sz w:val="20"/>
          <w:szCs w:val="20"/>
        </w:rPr>
        <w:t>BLIC 06-09-2011 EMENT VOL-02581-01 PP- 00169).</w:t>
      </w:r>
    </w:p>
    <w:p w:rsidR="008D5EE7" w:rsidRPr="00E145C7" w:rsidRDefault="008D5EE7" w:rsidP="008D5EE7">
      <w:pPr>
        <w:spacing w:after="0" w:line="360" w:lineRule="auto"/>
        <w:jc w:val="both"/>
        <w:rPr>
          <w:rFonts w:ascii="Palatino Linotype" w:hAnsi="Palatino Linotype"/>
          <w:sz w:val="20"/>
          <w:szCs w:val="20"/>
        </w:rPr>
      </w:pPr>
    </w:p>
    <w:p w:rsidR="00E567A6" w:rsidRPr="00E145C7" w:rsidRDefault="00E567A6" w:rsidP="00E567A6">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As matérias de iniciativa reservada são rol taxativo na CF/88 e nas Const</w:t>
      </w:r>
      <w:r w:rsidRPr="00E145C7">
        <w:rPr>
          <w:rFonts w:ascii="Palatino Linotype" w:hAnsi="Palatino Linotype"/>
          <w:sz w:val="24"/>
          <w:szCs w:val="24"/>
        </w:rPr>
        <w:t>i</w:t>
      </w:r>
      <w:r w:rsidRPr="00E145C7">
        <w:rPr>
          <w:rFonts w:ascii="Palatino Linotype" w:hAnsi="Palatino Linotype"/>
          <w:sz w:val="24"/>
          <w:szCs w:val="24"/>
        </w:rPr>
        <w:t xml:space="preserve">tuições Estaduais e Leis Orgânicas, lecionando </w:t>
      </w:r>
      <w:r w:rsidR="00536F72" w:rsidRPr="00E145C7">
        <w:rPr>
          <w:rFonts w:ascii="Palatino Linotype" w:hAnsi="Palatino Linotype"/>
          <w:sz w:val="24"/>
          <w:szCs w:val="24"/>
        </w:rPr>
        <w:t>Hely Lopes Meirelles</w:t>
      </w:r>
      <w:r w:rsidRPr="00E145C7">
        <w:rPr>
          <w:rFonts w:ascii="Palatino Linotype" w:hAnsi="Palatino Linotype"/>
          <w:sz w:val="24"/>
          <w:szCs w:val="24"/>
        </w:rPr>
        <w:t xml:space="preserve"> que:</w:t>
      </w:r>
    </w:p>
    <w:p w:rsidR="00E567A6" w:rsidRPr="00E145C7" w:rsidRDefault="00E567A6" w:rsidP="00E567A6">
      <w:pPr>
        <w:spacing w:after="0" w:line="360" w:lineRule="auto"/>
        <w:jc w:val="both"/>
        <w:rPr>
          <w:rFonts w:ascii="Palatino Linotype" w:hAnsi="Palatino Linotype"/>
          <w:sz w:val="24"/>
          <w:szCs w:val="24"/>
        </w:rPr>
      </w:pPr>
    </w:p>
    <w:p w:rsidR="00E567A6" w:rsidRPr="00E145C7" w:rsidRDefault="00E567A6" w:rsidP="00E567A6">
      <w:pPr>
        <w:spacing w:after="0" w:line="240" w:lineRule="auto"/>
        <w:ind w:left="2268"/>
        <w:jc w:val="both"/>
        <w:rPr>
          <w:rFonts w:ascii="Palatino Linotype" w:hAnsi="Palatino Linotype"/>
          <w:sz w:val="20"/>
          <w:szCs w:val="20"/>
          <w:u w:val="single"/>
        </w:rPr>
      </w:pPr>
      <w:r w:rsidRPr="00E145C7">
        <w:rPr>
          <w:rFonts w:ascii="Palatino Linotype" w:hAnsi="Palatino Linotype"/>
          <w:sz w:val="20"/>
          <w:szCs w:val="20"/>
        </w:rPr>
        <w:t>Leis de iniciativa da Câmara ou, mais propriamente, de seus vereadores, são todas as que a lei orgânica municipal não reserva, expressa e privativame</w:t>
      </w:r>
      <w:r w:rsidRPr="00E145C7">
        <w:rPr>
          <w:rFonts w:ascii="Palatino Linotype" w:hAnsi="Palatino Linotype"/>
          <w:sz w:val="20"/>
          <w:szCs w:val="20"/>
        </w:rPr>
        <w:t>n</w:t>
      </w:r>
      <w:r w:rsidRPr="00E145C7">
        <w:rPr>
          <w:rFonts w:ascii="Palatino Linotype" w:hAnsi="Palatino Linotype"/>
          <w:sz w:val="20"/>
          <w:szCs w:val="20"/>
        </w:rPr>
        <w:t>te, à iniciativa do prefeito. As leis orgânicas municipais devem reproduzir, dentre as matérias pr</w:t>
      </w:r>
      <w:r w:rsidRPr="00E145C7">
        <w:rPr>
          <w:rFonts w:ascii="Palatino Linotype" w:hAnsi="Palatino Linotype"/>
          <w:sz w:val="20"/>
          <w:szCs w:val="20"/>
        </w:rPr>
        <w:t>e</w:t>
      </w:r>
      <w:r w:rsidRPr="00E145C7">
        <w:rPr>
          <w:rFonts w:ascii="Palatino Linotype" w:hAnsi="Palatino Linotype"/>
          <w:sz w:val="20"/>
          <w:szCs w:val="20"/>
        </w:rPr>
        <w:t>vistas nos arts. 61, §1º, e 165 da CF, as que se inserem no âmbito da competência municipal. São, pois, de iniciativa exclusiva do prefeito, como chefe do Executivo local, os projetos de lei que disponham sobre criação, estruturação e atribuição das secretarias, órgãos e entes da Administração Pública Municipal; matéria de organ</w:t>
      </w:r>
      <w:r w:rsidRPr="00E145C7">
        <w:rPr>
          <w:rFonts w:ascii="Palatino Linotype" w:hAnsi="Palatino Linotype"/>
          <w:sz w:val="20"/>
          <w:szCs w:val="20"/>
        </w:rPr>
        <w:t>i</w:t>
      </w:r>
      <w:r w:rsidRPr="00E145C7">
        <w:rPr>
          <w:rFonts w:ascii="Palatino Linotype" w:hAnsi="Palatino Linotype"/>
          <w:sz w:val="20"/>
          <w:szCs w:val="20"/>
        </w:rPr>
        <w:t>zação administrativa e planejamento de execução de obras e serviços públicos; criação de cargos, funções ou empregos públicos na Administração direta, autárquica e fund</w:t>
      </w:r>
      <w:r w:rsidRPr="00E145C7">
        <w:rPr>
          <w:rFonts w:ascii="Palatino Linotype" w:hAnsi="Palatino Linotype"/>
          <w:sz w:val="20"/>
          <w:szCs w:val="20"/>
        </w:rPr>
        <w:t>a</w:t>
      </w:r>
      <w:r w:rsidRPr="00E145C7">
        <w:rPr>
          <w:rFonts w:ascii="Palatino Linotype" w:hAnsi="Palatino Linotype"/>
          <w:sz w:val="20"/>
          <w:szCs w:val="20"/>
        </w:rPr>
        <w:t>cional do Município; o regime jurídico e previdenciário dos servidores m</w:t>
      </w:r>
      <w:r w:rsidRPr="00E145C7">
        <w:rPr>
          <w:rFonts w:ascii="Palatino Linotype" w:hAnsi="Palatino Linotype"/>
          <w:sz w:val="20"/>
          <w:szCs w:val="20"/>
        </w:rPr>
        <w:t>u</w:t>
      </w:r>
      <w:r w:rsidRPr="00E145C7">
        <w:rPr>
          <w:rFonts w:ascii="Palatino Linotype" w:hAnsi="Palatino Linotype"/>
          <w:sz w:val="20"/>
          <w:szCs w:val="20"/>
        </w:rPr>
        <w:t>nicipais, fixação e aumento de sua remuneração; o plano plurianual, as dir</w:t>
      </w:r>
      <w:r w:rsidRPr="00E145C7">
        <w:rPr>
          <w:rFonts w:ascii="Palatino Linotype" w:hAnsi="Palatino Linotype"/>
          <w:sz w:val="20"/>
          <w:szCs w:val="20"/>
        </w:rPr>
        <w:t>e</w:t>
      </w:r>
      <w:r w:rsidRPr="00E145C7">
        <w:rPr>
          <w:rFonts w:ascii="Palatino Linotype" w:hAnsi="Palatino Linotype"/>
          <w:sz w:val="20"/>
          <w:szCs w:val="20"/>
        </w:rPr>
        <w:t>trizes orçamentárias, o orçamento anual e os créditos suplementares e esp</w:t>
      </w:r>
      <w:r w:rsidRPr="00E145C7">
        <w:rPr>
          <w:rFonts w:ascii="Palatino Linotype" w:hAnsi="Palatino Linotype"/>
          <w:sz w:val="20"/>
          <w:szCs w:val="20"/>
        </w:rPr>
        <w:t>e</w:t>
      </w:r>
      <w:r w:rsidRPr="00E145C7">
        <w:rPr>
          <w:rFonts w:ascii="Palatino Linotype" w:hAnsi="Palatino Linotype"/>
          <w:sz w:val="20"/>
          <w:szCs w:val="20"/>
        </w:rPr>
        <w:t xml:space="preserve">ciais. </w:t>
      </w:r>
      <w:r w:rsidRPr="00E145C7">
        <w:rPr>
          <w:rFonts w:ascii="Palatino Linotype" w:hAnsi="Palatino Linotype"/>
          <w:b/>
          <w:sz w:val="20"/>
          <w:szCs w:val="20"/>
          <w:u w:val="single"/>
        </w:rPr>
        <w:t xml:space="preserve">Os demais projetos competem </w:t>
      </w:r>
      <w:r w:rsidR="00FB7B47" w:rsidRPr="00E145C7">
        <w:rPr>
          <w:rFonts w:ascii="Palatino Linotype" w:hAnsi="Palatino Linotype"/>
          <w:b/>
          <w:sz w:val="20"/>
          <w:szCs w:val="20"/>
          <w:u w:val="single"/>
        </w:rPr>
        <w:t>concorrentemente ao prefeito e à</w:t>
      </w:r>
      <w:r w:rsidRPr="00E145C7">
        <w:rPr>
          <w:rFonts w:ascii="Palatino Linotype" w:hAnsi="Palatino Linotype"/>
          <w:b/>
          <w:sz w:val="20"/>
          <w:szCs w:val="20"/>
          <w:u w:val="single"/>
        </w:rPr>
        <w:t xml:space="preserve"> C</w:t>
      </w:r>
      <w:r w:rsidRPr="00E145C7">
        <w:rPr>
          <w:rFonts w:ascii="Palatino Linotype" w:hAnsi="Palatino Linotype"/>
          <w:b/>
          <w:sz w:val="20"/>
          <w:szCs w:val="20"/>
          <w:u w:val="single"/>
        </w:rPr>
        <w:t>â</w:t>
      </w:r>
      <w:r w:rsidRPr="00E145C7">
        <w:rPr>
          <w:rFonts w:ascii="Palatino Linotype" w:hAnsi="Palatino Linotype"/>
          <w:b/>
          <w:sz w:val="20"/>
          <w:szCs w:val="20"/>
          <w:u w:val="single"/>
        </w:rPr>
        <w:t>mara, na forma r</w:t>
      </w:r>
      <w:r w:rsidRPr="00E145C7">
        <w:rPr>
          <w:rFonts w:ascii="Palatino Linotype" w:hAnsi="Palatino Linotype"/>
          <w:b/>
          <w:sz w:val="20"/>
          <w:szCs w:val="20"/>
          <w:u w:val="single"/>
        </w:rPr>
        <w:t>e</w:t>
      </w:r>
      <w:r w:rsidRPr="00E145C7">
        <w:rPr>
          <w:rFonts w:ascii="Palatino Linotype" w:hAnsi="Palatino Linotype"/>
          <w:b/>
          <w:sz w:val="20"/>
          <w:szCs w:val="20"/>
          <w:u w:val="single"/>
        </w:rPr>
        <w:t xml:space="preserve">gimental. </w:t>
      </w:r>
      <w:r w:rsidRPr="00E145C7">
        <w:rPr>
          <w:rFonts w:ascii="Palatino Linotype" w:hAnsi="Palatino Linotype"/>
          <w:sz w:val="20"/>
          <w:szCs w:val="20"/>
          <w:u w:val="single"/>
        </w:rPr>
        <w:t>(grifo nosso)</w:t>
      </w:r>
    </w:p>
    <w:p w:rsidR="00E567A6" w:rsidRPr="00E145C7" w:rsidRDefault="00E567A6" w:rsidP="00E567A6">
      <w:pPr>
        <w:spacing w:after="0" w:line="360" w:lineRule="auto"/>
        <w:ind w:left="2124"/>
        <w:jc w:val="both"/>
        <w:rPr>
          <w:rFonts w:ascii="Palatino Linotype" w:hAnsi="Palatino Linotype"/>
          <w:sz w:val="24"/>
          <w:szCs w:val="24"/>
          <w:u w:val="single"/>
        </w:rPr>
      </w:pPr>
    </w:p>
    <w:p w:rsidR="00E567A6" w:rsidRDefault="00E567A6" w:rsidP="00E567A6">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As leis que dispõem sobre matéria tributária não se inserem dentre as de iniciativa privativa do Chefe do Poder Executivo, afirmando os tribunais que a inici</w:t>
      </w:r>
      <w:r w:rsidRPr="00E145C7">
        <w:rPr>
          <w:rFonts w:ascii="Palatino Linotype" w:hAnsi="Palatino Linotype"/>
          <w:sz w:val="24"/>
          <w:szCs w:val="24"/>
        </w:rPr>
        <w:t>a</w:t>
      </w:r>
      <w:r w:rsidRPr="00E145C7">
        <w:rPr>
          <w:rFonts w:ascii="Palatino Linotype" w:hAnsi="Palatino Linotype"/>
          <w:sz w:val="24"/>
          <w:szCs w:val="24"/>
        </w:rPr>
        <w:t>tiva para defl</w:t>
      </w:r>
      <w:r w:rsidRPr="00E145C7">
        <w:rPr>
          <w:rFonts w:ascii="Palatino Linotype" w:hAnsi="Palatino Linotype"/>
          <w:sz w:val="24"/>
          <w:szCs w:val="24"/>
        </w:rPr>
        <w:t>a</w:t>
      </w:r>
      <w:r w:rsidRPr="00E145C7">
        <w:rPr>
          <w:rFonts w:ascii="Palatino Linotype" w:hAnsi="Palatino Linotype"/>
          <w:sz w:val="24"/>
          <w:szCs w:val="24"/>
        </w:rPr>
        <w:t>grar o processo legislativo acerca da matéria é concorrente:</w:t>
      </w:r>
    </w:p>
    <w:p w:rsidR="00E145C7" w:rsidRPr="00E145C7" w:rsidRDefault="00E145C7" w:rsidP="00E567A6">
      <w:pPr>
        <w:spacing w:after="0" w:line="360" w:lineRule="auto"/>
        <w:ind w:firstLine="1134"/>
        <w:jc w:val="both"/>
        <w:rPr>
          <w:rFonts w:ascii="Palatino Linotype" w:hAnsi="Palatino Linotype"/>
          <w:sz w:val="24"/>
          <w:szCs w:val="24"/>
        </w:rPr>
      </w:pPr>
    </w:p>
    <w:p w:rsidR="00E567A6" w:rsidRPr="00E145C7" w:rsidRDefault="00E567A6" w:rsidP="00E567A6">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lastRenderedPageBreak/>
        <w:t xml:space="preserve">AGRAVO REGIMENTAL NO AGRAVO DE INSTRUMENTO. </w:t>
      </w:r>
      <w:r w:rsidRPr="00E145C7">
        <w:rPr>
          <w:rFonts w:ascii="Palatino Linotype" w:hAnsi="Palatino Linotype"/>
          <w:b/>
          <w:sz w:val="20"/>
          <w:szCs w:val="20"/>
        </w:rPr>
        <w:t>CONST</w:t>
      </w:r>
      <w:r w:rsidRPr="00E145C7">
        <w:rPr>
          <w:rFonts w:ascii="Palatino Linotype" w:hAnsi="Palatino Linotype"/>
          <w:b/>
          <w:sz w:val="20"/>
          <w:szCs w:val="20"/>
        </w:rPr>
        <w:t>I</w:t>
      </w:r>
      <w:r w:rsidRPr="00E145C7">
        <w:rPr>
          <w:rFonts w:ascii="Palatino Linotype" w:hAnsi="Palatino Linotype"/>
          <w:b/>
          <w:sz w:val="20"/>
          <w:szCs w:val="20"/>
        </w:rPr>
        <w:t>TUCIONAL E TRIBUTÁRIO. INICIATIVA LEGISLATIVA. MATÉRIA TRIBUTÁRIA. CONCORRÊNCIA ENTRE PODER LEGISLATIVO E P</w:t>
      </w:r>
      <w:r w:rsidRPr="00E145C7">
        <w:rPr>
          <w:rFonts w:ascii="Palatino Linotype" w:hAnsi="Palatino Linotype"/>
          <w:b/>
          <w:sz w:val="20"/>
          <w:szCs w:val="20"/>
        </w:rPr>
        <w:t>O</w:t>
      </w:r>
      <w:r w:rsidRPr="00E145C7">
        <w:rPr>
          <w:rFonts w:ascii="Palatino Linotype" w:hAnsi="Palatino Linotype"/>
          <w:b/>
          <w:sz w:val="20"/>
          <w:szCs w:val="20"/>
        </w:rPr>
        <w:t>DER EXECUTIVO. LEI QUE CONCEDE ISENÇÃO. POSSIBILIDADE AINDA QUE O TEMA VENHA A REPERCUTIR NO ORÇAMENTO MUNIC</w:t>
      </w:r>
      <w:r w:rsidRPr="00E145C7">
        <w:rPr>
          <w:rFonts w:ascii="Palatino Linotype" w:hAnsi="Palatino Linotype"/>
          <w:b/>
          <w:sz w:val="20"/>
          <w:szCs w:val="20"/>
        </w:rPr>
        <w:t>I</w:t>
      </w:r>
      <w:r w:rsidRPr="00E145C7">
        <w:rPr>
          <w:rFonts w:ascii="Palatino Linotype" w:hAnsi="Palatino Linotype"/>
          <w:b/>
          <w:sz w:val="20"/>
          <w:szCs w:val="20"/>
        </w:rPr>
        <w:t xml:space="preserve">PAL. </w:t>
      </w:r>
      <w:r w:rsidRPr="00E145C7">
        <w:rPr>
          <w:rFonts w:ascii="Palatino Linotype" w:hAnsi="Palatino Linotype"/>
          <w:sz w:val="20"/>
          <w:szCs w:val="20"/>
        </w:rPr>
        <w:t>RECURSO QUE NÃO SE INSURGIU CONTRA A DECISÃO AGRAVADA. DECISÃO QUE SE MANTÊM POR SEUS PRÓPRIOS FU</w:t>
      </w:r>
      <w:r w:rsidRPr="00E145C7">
        <w:rPr>
          <w:rFonts w:ascii="Palatino Linotype" w:hAnsi="Palatino Linotype"/>
          <w:sz w:val="20"/>
          <w:szCs w:val="20"/>
        </w:rPr>
        <w:t>N</w:t>
      </w:r>
      <w:r w:rsidRPr="00E145C7">
        <w:rPr>
          <w:rFonts w:ascii="Palatino Linotype" w:hAnsi="Palatino Linotype"/>
          <w:sz w:val="20"/>
          <w:szCs w:val="20"/>
        </w:rPr>
        <w:t xml:space="preserve">DAMENTOS. [...] </w:t>
      </w:r>
      <w:r w:rsidRPr="00E145C7">
        <w:rPr>
          <w:rFonts w:ascii="Palatino Linotype" w:hAnsi="Palatino Linotype"/>
          <w:b/>
          <w:sz w:val="20"/>
          <w:szCs w:val="20"/>
        </w:rPr>
        <w:t>2. A iniciativa para início do processo legislativo em m</w:t>
      </w:r>
      <w:r w:rsidRPr="00E145C7">
        <w:rPr>
          <w:rFonts w:ascii="Palatino Linotype" w:hAnsi="Palatino Linotype"/>
          <w:b/>
          <w:sz w:val="20"/>
          <w:szCs w:val="20"/>
        </w:rPr>
        <w:t>a</w:t>
      </w:r>
      <w:r w:rsidRPr="00E145C7">
        <w:rPr>
          <w:rFonts w:ascii="Palatino Linotype" w:hAnsi="Palatino Linotype"/>
          <w:b/>
          <w:sz w:val="20"/>
          <w:szCs w:val="20"/>
        </w:rPr>
        <w:t>téria tributária pertence concorrentemente ao Poder Legislativo e ao Poder Executivo (art. 61, § 1º, II, b, da CF).</w:t>
      </w:r>
      <w:r w:rsidRPr="00E145C7">
        <w:rPr>
          <w:rFonts w:ascii="Palatino Linotype" w:hAnsi="Palatino Linotype"/>
          <w:sz w:val="20"/>
          <w:szCs w:val="20"/>
        </w:rPr>
        <w:t xml:space="preserve"> Precedentes: ADI 724-MC, Tribunal Pleno, Rel. Min. Celso de Mello, DJ de 15.05.92; RE 590.697-ED, Primeira Turma, Rel. Min. Ricardo Lewandowski, Dje de 06.09.2011; RE 362.573-AgR, Segunda Turma, Rel. Min. Eros Grau, Dje de 17.08.2007). [...] (STF - AI: 809719 MG, Relator: Min. LUIZ FUX, Data de Julgamento: 09/04/2013, </w:t>
      </w:r>
      <w:r w:rsidR="00536F72" w:rsidRPr="00E145C7">
        <w:rPr>
          <w:rFonts w:ascii="Palatino Linotype" w:hAnsi="Palatino Linotype"/>
          <w:sz w:val="20"/>
          <w:szCs w:val="20"/>
        </w:rPr>
        <w:t>Pr</w:t>
      </w:r>
      <w:r w:rsidR="00536F72" w:rsidRPr="00E145C7">
        <w:rPr>
          <w:rFonts w:ascii="Palatino Linotype" w:hAnsi="Palatino Linotype"/>
          <w:sz w:val="20"/>
          <w:szCs w:val="20"/>
        </w:rPr>
        <w:t>i</w:t>
      </w:r>
      <w:r w:rsidR="00536F72" w:rsidRPr="00E145C7">
        <w:rPr>
          <w:rFonts w:ascii="Palatino Linotype" w:hAnsi="Palatino Linotype"/>
          <w:sz w:val="20"/>
          <w:szCs w:val="20"/>
        </w:rPr>
        <w:t>meira</w:t>
      </w:r>
      <w:r w:rsidRPr="00E145C7">
        <w:rPr>
          <w:rFonts w:ascii="Palatino Linotype" w:hAnsi="Palatino Linotype"/>
          <w:sz w:val="20"/>
          <w:szCs w:val="20"/>
        </w:rPr>
        <w:t xml:space="preserve"> Turma, Data de Publicação: ACÓRDÃO ELETRÔNICO DJe-078 D</w:t>
      </w:r>
      <w:r w:rsidRPr="00E145C7">
        <w:rPr>
          <w:rFonts w:ascii="Palatino Linotype" w:hAnsi="Palatino Linotype"/>
          <w:sz w:val="20"/>
          <w:szCs w:val="20"/>
        </w:rPr>
        <w:t>I</w:t>
      </w:r>
      <w:r w:rsidRPr="00E145C7">
        <w:rPr>
          <w:rFonts w:ascii="Palatino Linotype" w:hAnsi="Palatino Linotype"/>
          <w:sz w:val="20"/>
          <w:szCs w:val="20"/>
        </w:rPr>
        <w:t>VULG 25-04-2013 PUBLIC 26-04-2013)</w:t>
      </w:r>
    </w:p>
    <w:p w:rsidR="00E567A6" w:rsidRPr="00E145C7" w:rsidRDefault="00E567A6" w:rsidP="00E567A6">
      <w:pPr>
        <w:spacing w:after="0" w:line="360" w:lineRule="auto"/>
        <w:ind w:left="2268"/>
        <w:jc w:val="both"/>
        <w:rPr>
          <w:rFonts w:ascii="Palatino Linotype" w:hAnsi="Palatino Linotype"/>
          <w:sz w:val="20"/>
          <w:szCs w:val="20"/>
        </w:rPr>
      </w:pPr>
    </w:p>
    <w:p w:rsidR="00E567A6" w:rsidRPr="00E145C7" w:rsidRDefault="00E567A6" w:rsidP="00E567A6">
      <w:pPr>
        <w:spacing w:after="0" w:line="240" w:lineRule="auto"/>
        <w:ind w:left="2268"/>
        <w:jc w:val="both"/>
        <w:rPr>
          <w:rFonts w:ascii="Palatino Linotype" w:hAnsi="Palatino Linotype"/>
          <w:sz w:val="20"/>
          <w:szCs w:val="20"/>
        </w:rPr>
      </w:pPr>
      <w:r w:rsidRPr="00E145C7">
        <w:rPr>
          <w:rFonts w:ascii="Palatino Linotype" w:hAnsi="Palatino Linotype"/>
          <w:b/>
          <w:sz w:val="20"/>
          <w:szCs w:val="20"/>
        </w:rPr>
        <w:t>AÇÃO DIRETA DE INCONSTITUCIONALIDADE. MATÉRIA TRIB</w:t>
      </w:r>
      <w:r w:rsidRPr="00E145C7">
        <w:rPr>
          <w:rFonts w:ascii="Palatino Linotype" w:hAnsi="Palatino Linotype"/>
          <w:b/>
          <w:sz w:val="20"/>
          <w:szCs w:val="20"/>
        </w:rPr>
        <w:t>U</w:t>
      </w:r>
      <w:r w:rsidRPr="00E145C7">
        <w:rPr>
          <w:rFonts w:ascii="Palatino Linotype" w:hAnsi="Palatino Linotype"/>
          <w:b/>
          <w:sz w:val="20"/>
          <w:szCs w:val="20"/>
        </w:rPr>
        <w:t>TÁRIA. COMPETÊNCIA CONCORRENTE. AUSÊNCIA DE VÍCIO DE INICIATIVA. I</w:t>
      </w:r>
      <w:r w:rsidRPr="00E145C7">
        <w:rPr>
          <w:rFonts w:ascii="Palatino Linotype" w:hAnsi="Palatino Linotype"/>
          <w:sz w:val="20"/>
          <w:szCs w:val="20"/>
        </w:rPr>
        <w:t>MPROCEDÊNCIA. 1. Lei Complementar, de iniciativa pa</w:t>
      </w:r>
      <w:r w:rsidRPr="00E145C7">
        <w:rPr>
          <w:rFonts w:ascii="Palatino Linotype" w:hAnsi="Palatino Linotype"/>
          <w:sz w:val="20"/>
          <w:szCs w:val="20"/>
        </w:rPr>
        <w:t>r</w:t>
      </w:r>
      <w:r w:rsidRPr="00E145C7">
        <w:rPr>
          <w:rFonts w:ascii="Palatino Linotype" w:hAnsi="Palatino Linotype"/>
          <w:sz w:val="20"/>
          <w:szCs w:val="20"/>
        </w:rPr>
        <w:t>lamentar, que possibilita o parcelamento do ITBI e que não padece de vício de iniciativa e que não acarreta redução de receita passível de afrontar di</w:t>
      </w:r>
      <w:r w:rsidRPr="00E145C7">
        <w:rPr>
          <w:rFonts w:ascii="Palatino Linotype" w:hAnsi="Palatino Linotype"/>
          <w:sz w:val="20"/>
          <w:szCs w:val="20"/>
        </w:rPr>
        <w:t>s</w:t>
      </w:r>
      <w:r w:rsidRPr="00E145C7">
        <w:rPr>
          <w:rFonts w:ascii="Palatino Linotype" w:hAnsi="Palatino Linotype"/>
          <w:sz w:val="20"/>
          <w:szCs w:val="20"/>
        </w:rPr>
        <w:t xml:space="preserve">posições constitucionais. </w:t>
      </w:r>
      <w:r w:rsidRPr="00E145C7">
        <w:rPr>
          <w:rFonts w:ascii="Palatino Linotype" w:hAnsi="Palatino Linotype"/>
          <w:b/>
          <w:sz w:val="20"/>
          <w:szCs w:val="20"/>
        </w:rPr>
        <w:t>2. De fato, a iniciativa para início do processo l</w:t>
      </w:r>
      <w:r w:rsidRPr="00E145C7">
        <w:rPr>
          <w:rFonts w:ascii="Palatino Linotype" w:hAnsi="Palatino Linotype"/>
          <w:b/>
          <w:sz w:val="20"/>
          <w:szCs w:val="20"/>
        </w:rPr>
        <w:t>e</w:t>
      </w:r>
      <w:r w:rsidRPr="00E145C7">
        <w:rPr>
          <w:rFonts w:ascii="Palatino Linotype" w:hAnsi="Palatino Linotype"/>
          <w:b/>
          <w:sz w:val="20"/>
          <w:szCs w:val="20"/>
        </w:rPr>
        <w:t>gislativo em matéria tributária pertence concorrentemente ao Poder Legi</w:t>
      </w:r>
      <w:r w:rsidRPr="00E145C7">
        <w:rPr>
          <w:rFonts w:ascii="Palatino Linotype" w:hAnsi="Palatino Linotype"/>
          <w:b/>
          <w:sz w:val="20"/>
          <w:szCs w:val="20"/>
        </w:rPr>
        <w:t>s</w:t>
      </w:r>
      <w:r w:rsidRPr="00E145C7">
        <w:rPr>
          <w:rFonts w:ascii="Palatino Linotype" w:hAnsi="Palatino Linotype"/>
          <w:b/>
          <w:sz w:val="20"/>
          <w:szCs w:val="20"/>
        </w:rPr>
        <w:t>lativo e ao Poder Executivo (art. 61, § 1º, II, b, da CF). Precedentes: ADI 724-MC, Tribunal Pleno, Rel. Min. Celso de Mello, DJ de 15.05.92; RE 590.697-ED, Primeira Turma, Rel. Min. Ricardo Lewandowski, Dje de 06.09.2011; RE 362.573-AgR, Segunda Turma, Rel. Min. Eros Grau, Dje de 17.08.2007; AI 809719 AgR, Rel. Min. Luis Fux, Primeira Turma, j. em 09/04/2013.</w:t>
      </w:r>
      <w:r w:rsidRPr="00E145C7">
        <w:rPr>
          <w:rFonts w:ascii="Palatino Linotype" w:hAnsi="Palatino Linotype"/>
          <w:sz w:val="20"/>
          <w:szCs w:val="20"/>
        </w:rPr>
        <w:t xml:space="preserve"> ADI JULGADA IMPROCEDENTE. UNÂNIME. (Ação Direta de Inconstitucionalidade Nº 70059239814, Tribunal Pleno, Tribunal de Justiça do RS, Relator: Eugênio Facchini Neto, Julgado em 01/12/2015)</w:t>
      </w:r>
    </w:p>
    <w:p w:rsidR="00E567A6" w:rsidRPr="00E145C7" w:rsidRDefault="00E567A6" w:rsidP="00E567A6">
      <w:pPr>
        <w:spacing w:after="0" w:line="360" w:lineRule="auto"/>
        <w:ind w:left="2268"/>
        <w:jc w:val="both"/>
        <w:rPr>
          <w:rFonts w:ascii="Palatino Linotype" w:hAnsi="Palatino Linotype"/>
          <w:sz w:val="20"/>
          <w:szCs w:val="20"/>
        </w:rPr>
      </w:pPr>
    </w:p>
    <w:p w:rsidR="00E567A6" w:rsidRPr="00E145C7" w:rsidRDefault="00E567A6" w:rsidP="00E567A6">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 xml:space="preserve">A </w:t>
      </w:r>
      <w:r w:rsidR="008A2506" w:rsidRPr="00E145C7">
        <w:rPr>
          <w:rFonts w:ascii="Palatino Linotype" w:hAnsi="Palatino Linotype"/>
          <w:sz w:val="24"/>
          <w:szCs w:val="24"/>
        </w:rPr>
        <w:t>temática</w:t>
      </w:r>
      <w:r w:rsidRPr="00E145C7">
        <w:rPr>
          <w:rFonts w:ascii="Palatino Linotype" w:hAnsi="Palatino Linotype"/>
          <w:sz w:val="24"/>
          <w:szCs w:val="24"/>
        </w:rPr>
        <w:t xml:space="preserve"> proposta também não trata de lei orçamentária, mas merame</w:t>
      </w:r>
      <w:r w:rsidRPr="00E145C7">
        <w:rPr>
          <w:rFonts w:ascii="Palatino Linotype" w:hAnsi="Palatino Linotype"/>
          <w:sz w:val="24"/>
          <w:szCs w:val="24"/>
        </w:rPr>
        <w:t>n</w:t>
      </w:r>
      <w:r w:rsidRPr="00E145C7">
        <w:rPr>
          <w:rFonts w:ascii="Palatino Linotype" w:hAnsi="Palatino Linotype"/>
          <w:sz w:val="24"/>
          <w:szCs w:val="24"/>
        </w:rPr>
        <w:t>te de matéria tributária, possuindo viabilidade quanto à iniciativa:</w:t>
      </w:r>
    </w:p>
    <w:p w:rsidR="00E567A6" w:rsidRPr="00E145C7" w:rsidRDefault="00E567A6" w:rsidP="00E567A6">
      <w:pPr>
        <w:spacing w:after="0" w:line="360" w:lineRule="auto"/>
        <w:jc w:val="both"/>
        <w:rPr>
          <w:rFonts w:ascii="Palatino Linotype" w:hAnsi="Palatino Linotype"/>
          <w:sz w:val="24"/>
          <w:szCs w:val="24"/>
        </w:rPr>
      </w:pPr>
    </w:p>
    <w:p w:rsidR="00E567A6" w:rsidRPr="00E145C7" w:rsidRDefault="00E567A6" w:rsidP="00E567A6">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EMBARGOS DE DECLARAÇÃO OPOSTOS DE DECISÃO MONOCRÁT</w:t>
      </w:r>
      <w:r w:rsidRPr="00E145C7">
        <w:rPr>
          <w:rFonts w:ascii="Palatino Linotype" w:hAnsi="Palatino Linotype"/>
          <w:sz w:val="20"/>
          <w:szCs w:val="20"/>
        </w:rPr>
        <w:t>I</w:t>
      </w:r>
      <w:r w:rsidRPr="00E145C7">
        <w:rPr>
          <w:rFonts w:ascii="Palatino Linotype" w:hAnsi="Palatino Linotype"/>
          <w:sz w:val="20"/>
          <w:szCs w:val="20"/>
        </w:rPr>
        <w:t xml:space="preserve">CA. CONVERSÃO EM AGRAVO REGIMENTAL. </w:t>
      </w:r>
      <w:r w:rsidRPr="00E145C7">
        <w:rPr>
          <w:rFonts w:ascii="Palatino Linotype" w:hAnsi="Palatino Linotype"/>
          <w:b/>
          <w:sz w:val="20"/>
          <w:szCs w:val="20"/>
        </w:rPr>
        <w:t>PROCESSO LEGISL</w:t>
      </w:r>
      <w:r w:rsidRPr="00E145C7">
        <w:rPr>
          <w:rFonts w:ascii="Palatino Linotype" w:hAnsi="Palatino Linotype"/>
          <w:b/>
          <w:sz w:val="20"/>
          <w:szCs w:val="20"/>
        </w:rPr>
        <w:t>A</w:t>
      </w:r>
      <w:r w:rsidRPr="00E145C7">
        <w:rPr>
          <w:rFonts w:ascii="Palatino Linotype" w:hAnsi="Palatino Linotype"/>
          <w:b/>
          <w:sz w:val="20"/>
          <w:szCs w:val="20"/>
        </w:rPr>
        <w:t>TIVO. NORMAS SOBRE DIREITO TRIBUTÁRIO. INICIATIVA CO</w:t>
      </w:r>
      <w:r w:rsidRPr="00E145C7">
        <w:rPr>
          <w:rFonts w:ascii="Palatino Linotype" w:hAnsi="Palatino Linotype"/>
          <w:b/>
          <w:sz w:val="20"/>
          <w:szCs w:val="20"/>
        </w:rPr>
        <w:t>N</w:t>
      </w:r>
      <w:r w:rsidRPr="00E145C7">
        <w:rPr>
          <w:rFonts w:ascii="Palatino Linotype" w:hAnsi="Palatino Linotype"/>
          <w:b/>
          <w:sz w:val="20"/>
          <w:szCs w:val="20"/>
        </w:rPr>
        <w:t>CORRENTE ENTRE O CHEFE DO PODER EXECUTIVO E OS ME</w:t>
      </w:r>
      <w:r w:rsidRPr="00E145C7">
        <w:rPr>
          <w:rFonts w:ascii="Palatino Linotype" w:hAnsi="Palatino Linotype"/>
          <w:b/>
          <w:sz w:val="20"/>
          <w:szCs w:val="20"/>
        </w:rPr>
        <w:t>M</w:t>
      </w:r>
      <w:r w:rsidRPr="00E145C7">
        <w:rPr>
          <w:rFonts w:ascii="Palatino Linotype" w:hAnsi="Palatino Linotype"/>
          <w:b/>
          <w:sz w:val="20"/>
          <w:szCs w:val="20"/>
        </w:rPr>
        <w:t>BROS DO LEGISLATIVO. POSSIBILIDADE DE LEI QUE VERSE SOBRE O TEMA REPERCUTIR NO ORÇAMENTO DO ENTE FEDERADO.</w:t>
      </w:r>
      <w:r w:rsidRPr="00E145C7">
        <w:rPr>
          <w:rFonts w:ascii="Palatino Linotype" w:hAnsi="Palatino Linotype"/>
          <w:sz w:val="20"/>
          <w:szCs w:val="20"/>
        </w:rPr>
        <w:t xml:space="preserve"> I</w:t>
      </w:r>
      <w:r w:rsidRPr="00E145C7">
        <w:rPr>
          <w:rFonts w:ascii="Palatino Linotype" w:hAnsi="Palatino Linotype"/>
          <w:sz w:val="20"/>
          <w:szCs w:val="20"/>
        </w:rPr>
        <w:t>R</w:t>
      </w:r>
      <w:r w:rsidRPr="00E145C7">
        <w:rPr>
          <w:rFonts w:ascii="Palatino Linotype" w:hAnsi="Palatino Linotype"/>
          <w:sz w:val="20"/>
          <w:szCs w:val="20"/>
        </w:rPr>
        <w:t xml:space="preserve">RELEVÂNCIA PARA FINS DE DEFINIÇÃO DOS LEGITIMADOS PARA A INSTAURAÇÃO DO PROCESSO LEGISLATIVO. AGRAVO IMPROVIDO. </w:t>
      </w:r>
      <w:r w:rsidRPr="00E145C7">
        <w:rPr>
          <w:rFonts w:ascii="Palatino Linotype" w:hAnsi="Palatino Linotype"/>
          <w:b/>
          <w:sz w:val="20"/>
          <w:szCs w:val="20"/>
        </w:rPr>
        <w:t>I – A iniciativa de leis que versem sobre matéria tributária é concorrente e</w:t>
      </w:r>
      <w:r w:rsidRPr="00E145C7">
        <w:rPr>
          <w:rFonts w:ascii="Palatino Linotype" w:hAnsi="Palatino Linotype"/>
          <w:b/>
          <w:sz w:val="20"/>
          <w:szCs w:val="20"/>
        </w:rPr>
        <w:t>n</w:t>
      </w:r>
      <w:r w:rsidRPr="00E145C7">
        <w:rPr>
          <w:rFonts w:ascii="Palatino Linotype" w:hAnsi="Palatino Linotype"/>
          <w:b/>
          <w:sz w:val="20"/>
          <w:szCs w:val="20"/>
        </w:rPr>
        <w:lastRenderedPageBreak/>
        <w:t>tre o chefe do poder executivo e os membros do legislativo. II – A circun</w:t>
      </w:r>
      <w:r w:rsidRPr="00E145C7">
        <w:rPr>
          <w:rFonts w:ascii="Palatino Linotype" w:hAnsi="Palatino Linotype"/>
          <w:b/>
          <w:sz w:val="20"/>
          <w:szCs w:val="20"/>
        </w:rPr>
        <w:t>s</w:t>
      </w:r>
      <w:r w:rsidRPr="00E145C7">
        <w:rPr>
          <w:rFonts w:ascii="Palatino Linotype" w:hAnsi="Palatino Linotype"/>
          <w:b/>
          <w:sz w:val="20"/>
          <w:szCs w:val="20"/>
        </w:rPr>
        <w:t>tância de as leis que versem sobre matéria tributária poderem repercutir no orçamento do ente federado não conduz à conclusão de que sua inici</w:t>
      </w:r>
      <w:r w:rsidRPr="00E145C7">
        <w:rPr>
          <w:rFonts w:ascii="Palatino Linotype" w:hAnsi="Palatino Linotype"/>
          <w:b/>
          <w:sz w:val="20"/>
          <w:szCs w:val="20"/>
        </w:rPr>
        <w:t>a</w:t>
      </w:r>
      <w:r w:rsidRPr="00E145C7">
        <w:rPr>
          <w:rFonts w:ascii="Palatino Linotype" w:hAnsi="Palatino Linotype"/>
          <w:b/>
          <w:sz w:val="20"/>
          <w:szCs w:val="20"/>
        </w:rPr>
        <w:t>tiva é privativa do chefe do executivo.</w:t>
      </w:r>
      <w:r w:rsidRPr="00E145C7">
        <w:rPr>
          <w:rFonts w:ascii="Palatino Linotype" w:hAnsi="Palatino Linotype"/>
          <w:sz w:val="20"/>
          <w:szCs w:val="20"/>
        </w:rPr>
        <w:t xml:space="preserve"> III – Agravo Regimental improvido (STF, ED-RE 590.697-MG, 2ª Turma, Rel. Min. Ricardo Lewandowski, 23-08-2011, v.u., DJe 06-09-2011).</w:t>
      </w:r>
    </w:p>
    <w:p w:rsidR="00E567A6" w:rsidRPr="00E145C7" w:rsidRDefault="00E567A6" w:rsidP="00940D9E">
      <w:pPr>
        <w:spacing w:after="0" w:line="360" w:lineRule="auto"/>
        <w:ind w:firstLine="1134"/>
        <w:jc w:val="both"/>
        <w:rPr>
          <w:rFonts w:ascii="Palatino Linotype" w:hAnsi="Palatino Linotype"/>
          <w:sz w:val="24"/>
          <w:szCs w:val="24"/>
        </w:rPr>
      </w:pPr>
    </w:p>
    <w:p w:rsidR="008A2506" w:rsidRDefault="008A2506" w:rsidP="00940D9E">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Assim, verifica-se, no caso, que não há qualquer limitação constitucional à pr</w:t>
      </w:r>
      <w:r w:rsidRPr="00E145C7">
        <w:rPr>
          <w:rFonts w:ascii="Palatino Linotype" w:hAnsi="Palatino Linotype"/>
          <w:sz w:val="24"/>
          <w:szCs w:val="24"/>
        </w:rPr>
        <w:t>o</w:t>
      </w:r>
      <w:r w:rsidRPr="00E145C7">
        <w:rPr>
          <w:rFonts w:ascii="Palatino Linotype" w:hAnsi="Palatino Linotype"/>
          <w:sz w:val="24"/>
          <w:szCs w:val="24"/>
        </w:rPr>
        <w:t>positura de projeto por Vereador sobre a matéria tratada, já que, com base nos fundamentos acima expostos, não se constata qualquer hipótese de iniciativa privat</w:t>
      </w:r>
      <w:r w:rsidRPr="00E145C7">
        <w:rPr>
          <w:rFonts w:ascii="Palatino Linotype" w:hAnsi="Palatino Linotype"/>
          <w:sz w:val="24"/>
          <w:szCs w:val="24"/>
        </w:rPr>
        <w:t>i</w:t>
      </w:r>
      <w:r w:rsidRPr="00E145C7">
        <w:rPr>
          <w:rFonts w:ascii="Palatino Linotype" w:hAnsi="Palatino Linotype"/>
          <w:sz w:val="24"/>
          <w:szCs w:val="24"/>
        </w:rPr>
        <w:t>va e/ou exclusiva.</w:t>
      </w:r>
    </w:p>
    <w:p w:rsidR="00E145C7" w:rsidRPr="00E145C7" w:rsidRDefault="00E145C7" w:rsidP="00940D9E">
      <w:pPr>
        <w:spacing w:after="0" w:line="360" w:lineRule="auto"/>
        <w:ind w:firstLine="1134"/>
        <w:jc w:val="both"/>
        <w:rPr>
          <w:rFonts w:ascii="Palatino Linotype" w:hAnsi="Palatino Linotype"/>
          <w:sz w:val="24"/>
          <w:szCs w:val="24"/>
        </w:rPr>
      </w:pPr>
    </w:p>
    <w:p w:rsidR="008A2506" w:rsidRPr="00E145C7" w:rsidRDefault="008A2506" w:rsidP="00940D9E">
      <w:pPr>
        <w:spacing w:after="0" w:line="360" w:lineRule="auto"/>
        <w:ind w:firstLine="1134"/>
        <w:jc w:val="both"/>
        <w:rPr>
          <w:rFonts w:ascii="Palatino Linotype" w:hAnsi="Palatino Linotype"/>
          <w:b/>
          <w:bCs/>
          <w:sz w:val="24"/>
          <w:szCs w:val="24"/>
        </w:rPr>
      </w:pPr>
      <w:r w:rsidRPr="00E145C7">
        <w:rPr>
          <w:rFonts w:ascii="Palatino Linotype" w:hAnsi="Palatino Linotype"/>
          <w:b/>
          <w:bCs/>
          <w:sz w:val="24"/>
          <w:szCs w:val="24"/>
        </w:rPr>
        <w:t>2.3 Do conteúdo do projeto de lei</w:t>
      </w:r>
    </w:p>
    <w:p w:rsidR="008A2506" w:rsidRPr="00E145C7" w:rsidRDefault="008A2506" w:rsidP="00940D9E">
      <w:pPr>
        <w:spacing w:after="0" w:line="360" w:lineRule="auto"/>
        <w:ind w:firstLine="1134"/>
        <w:jc w:val="both"/>
        <w:rPr>
          <w:rFonts w:ascii="Palatino Linotype" w:hAnsi="Palatino Linotype"/>
          <w:sz w:val="24"/>
          <w:szCs w:val="24"/>
        </w:rPr>
      </w:pPr>
    </w:p>
    <w:p w:rsidR="002E13F9" w:rsidRPr="00E145C7" w:rsidRDefault="008A2506" w:rsidP="00940D9E">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 xml:space="preserve">De acordo com a </w:t>
      </w:r>
      <w:r w:rsidR="002E13F9" w:rsidRPr="00E145C7">
        <w:rPr>
          <w:rFonts w:ascii="Palatino Linotype" w:hAnsi="Palatino Linotype"/>
          <w:sz w:val="24"/>
          <w:szCs w:val="24"/>
        </w:rPr>
        <w:t>justificativa</w:t>
      </w:r>
      <w:r w:rsidRPr="00E145C7">
        <w:rPr>
          <w:rFonts w:ascii="Palatino Linotype" w:hAnsi="Palatino Linotype"/>
          <w:sz w:val="24"/>
          <w:szCs w:val="24"/>
        </w:rPr>
        <w:t>, o projeto pretende instituir um</w:t>
      </w:r>
      <w:r w:rsidR="00ED7562" w:rsidRPr="00E145C7">
        <w:rPr>
          <w:rFonts w:ascii="Palatino Linotype" w:hAnsi="Palatino Linotype"/>
          <w:sz w:val="24"/>
          <w:szCs w:val="24"/>
        </w:rPr>
        <w:t xml:space="preserve"> programa de i</w:t>
      </w:r>
      <w:r w:rsidR="00ED7562" w:rsidRPr="00E145C7">
        <w:rPr>
          <w:rFonts w:ascii="Palatino Linotype" w:hAnsi="Palatino Linotype"/>
          <w:sz w:val="24"/>
          <w:szCs w:val="24"/>
        </w:rPr>
        <w:t>n</w:t>
      </w:r>
      <w:r w:rsidR="00ED7562" w:rsidRPr="00E145C7">
        <w:rPr>
          <w:rFonts w:ascii="Palatino Linotype" w:hAnsi="Palatino Linotype"/>
          <w:sz w:val="24"/>
          <w:szCs w:val="24"/>
        </w:rPr>
        <w:t>centivos fiscais em contrapartida a medidas que preservem, protejam e recuperem o meio ambiente na realidade local</w:t>
      </w:r>
      <w:r w:rsidRPr="00E145C7">
        <w:rPr>
          <w:rFonts w:ascii="Palatino Linotype" w:hAnsi="Palatino Linotype"/>
          <w:sz w:val="24"/>
          <w:szCs w:val="24"/>
        </w:rPr>
        <w:t>. Para tanto, propõe</w:t>
      </w:r>
      <w:r w:rsidR="00ED7562" w:rsidRPr="00E145C7">
        <w:rPr>
          <w:rFonts w:ascii="Palatino Linotype" w:hAnsi="Palatino Linotype"/>
          <w:sz w:val="24"/>
          <w:szCs w:val="24"/>
        </w:rPr>
        <w:t xml:space="preserve"> reduções de alíquotas do I</w:t>
      </w:r>
      <w:r w:rsidR="00ED7562" w:rsidRPr="00E145C7">
        <w:rPr>
          <w:rFonts w:ascii="Palatino Linotype" w:hAnsi="Palatino Linotype"/>
          <w:sz w:val="24"/>
          <w:szCs w:val="24"/>
        </w:rPr>
        <w:t>P</w:t>
      </w:r>
      <w:r w:rsidR="00ED7562" w:rsidRPr="00E145C7">
        <w:rPr>
          <w:rFonts w:ascii="Palatino Linotype" w:hAnsi="Palatino Linotype"/>
          <w:sz w:val="24"/>
          <w:szCs w:val="24"/>
        </w:rPr>
        <w:t xml:space="preserve">TU nos imóveis residenciais e não residenciais que contenham </w:t>
      </w:r>
      <w:r w:rsidR="002E13F9" w:rsidRPr="00E145C7">
        <w:rPr>
          <w:rFonts w:ascii="Palatino Linotype" w:hAnsi="Palatino Linotype"/>
          <w:sz w:val="24"/>
          <w:szCs w:val="24"/>
        </w:rPr>
        <w:t xml:space="preserve">determinadas </w:t>
      </w:r>
      <w:r w:rsidR="00ED7562" w:rsidRPr="00E145C7">
        <w:rPr>
          <w:rFonts w:ascii="Palatino Linotype" w:hAnsi="Palatino Linotype"/>
          <w:sz w:val="24"/>
          <w:szCs w:val="24"/>
        </w:rPr>
        <w:t>funci</w:t>
      </w:r>
      <w:r w:rsidR="00ED7562" w:rsidRPr="00E145C7">
        <w:rPr>
          <w:rFonts w:ascii="Palatino Linotype" w:hAnsi="Palatino Linotype"/>
          <w:sz w:val="24"/>
          <w:szCs w:val="24"/>
        </w:rPr>
        <w:t>o</w:t>
      </w:r>
      <w:r w:rsidR="00ED7562" w:rsidRPr="00E145C7">
        <w:rPr>
          <w:rFonts w:ascii="Palatino Linotype" w:hAnsi="Palatino Linotype"/>
          <w:sz w:val="24"/>
          <w:szCs w:val="24"/>
        </w:rPr>
        <w:t>nalidades sustentáveis</w:t>
      </w:r>
      <w:r w:rsidR="002E13F9" w:rsidRPr="00E145C7">
        <w:rPr>
          <w:rFonts w:ascii="Palatino Linotype" w:hAnsi="Palatino Linotype"/>
          <w:sz w:val="24"/>
          <w:szCs w:val="24"/>
        </w:rPr>
        <w:t>.</w:t>
      </w:r>
    </w:p>
    <w:p w:rsidR="002E13F9" w:rsidRPr="00E145C7" w:rsidRDefault="002E13F9" w:rsidP="00940D9E">
      <w:pPr>
        <w:spacing w:after="0" w:line="360" w:lineRule="auto"/>
        <w:ind w:firstLine="1134"/>
        <w:jc w:val="both"/>
        <w:rPr>
          <w:rFonts w:ascii="Palatino Linotype" w:hAnsi="Palatino Linotype"/>
          <w:sz w:val="24"/>
          <w:szCs w:val="24"/>
        </w:rPr>
      </w:pPr>
    </w:p>
    <w:p w:rsidR="002E13F9" w:rsidRPr="00E145C7" w:rsidRDefault="002E13F9" w:rsidP="00940D9E">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 xml:space="preserve">Nesse sentido, a Constituição Federal, no artigo 225, </w:t>
      </w:r>
      <w:r w:rsidRPr="00E145C7">
        <w:rPr>
          <w:rFonts w:ascii="Palatino Linotype" w:hAnsi="Palatino Linotype"/>
          <w:i/>
          <w:sz w:val="24"/>
          <w:szCs w:val="24"/>
        </w:rPr>
        <w:t>caput</w:t>
      </w:r>
      <w:r w:rsidRPr="00E145C7">
        <w:rPr>
          <w:rFonts w:ascii="Palatino Linotype" w:hAnsi="Palatino Linotype"/>
          <w:sz w:val="24"/>
          <w:szCs w:val="24"/>
        </w:rPr>
        <w:t xml:space="preserve">, dispõe: “Todos têm direito ao meio ambiente ecologicamente equilibrado, bem de uso comum do povo e essencial à sadia qualidade de vida, </w:t>
      </w:r>
      <w:r w:rsidRPr="00E145C7">
        <w:rPr>
          <w:rFonts w:ascii="Palatino Linotype" w:hAnsi="Palatino Linotype"/>
          <w:b/>
          <w:sz w:val="24"/>
          <w:szCs w:val="24"/>
        </w:rPr>
        <w:t>impondo-se ao Poder Público e à colet</w:t>
      </w:r>
      <w:r w:rsidRPr="00E145C7">
        <w:rPr>
          <w:rFonts w:ascii="Palatino Linotype" w:hAnsi="Palatino Linotype"/>
          <w:b/>
          <w:sz w:val="24"/>
          <w:szCs w:val="24"/>
        </w:rPr>
        <w:t>i</w:t>
      </w:r>
      <w:r w:rsidRPr="00E145C7">
        <w:rPr>
          <w:rFonts w:ascii="Palatino Linotype" w:hAnsi="Palatino Linotype"/>
          <w:b/>
          <w:sz w:val="24"/>
          <w:szCs w:val="24"/>
        </w:rPr>
        <w:t>vidade</w:t>
      </w:r>
      <w:r w:rsidRPr="00E145C7">
        <w:rPr>
          <w:rFonts w:ascii="Palatino Linotype" w:hAnsi="Palatino Linotype"/>
          <w:sz w:val="24"/>
          <w:szCs w:val="24"/>
        </w:rPr>
        <w:t xml:space="preserve"> o dever de d</w:t>
      </w:r>
      <w:r w:rsidRPr="00E145C7">
        <w:rPr>
          <w:rFonts w:ascii="Palatino Linotype" w:hAnsi="Palatino Linotype"/>
          <w:sz w:val="24"/>
          <w:szCs w:val="24"/>
        </w:rPr>
        <w:t>e</w:t>
      </w:r>
      <w:r w:rsidRPr="00E145C7">
        <w:rPr>
          <w:rFonts w:ascii="Palatino Linotype" w:hAnsi="Palatino Linotype"/>
          <w:sz w:val="24"/>
          <w:szCs w:val="24"/>
        </w:rPr>
        <w:t xml:space="preserve">fendê-lo e preservá-lo para as presentes e futuras gerações. Do mesmo modo, o artigo 251, </w:t>
      </w:r>
      <w:r w:rsidRPr="00E145C7">
        <w:rPr>
          <w:rFonts w:ascii="Palatino Linotype" w:hAnsi="Palatino Linotype"/>
          <w:i/>
          <w:sz w:val="24"/>
          <w:szCs w:val="24"/>
        </w:rPr>
        <w:t>caput</w:t>
      </w:r>
      <w:r w:rsidRPr="00E145C7">
        <w:rPr>
          <w:rFonts w:ascii="Palatino Linotype" w:hAnsi="Palatino Linotype"/>
          <w:sz w:val="24"/>
          <w:szCs w:val="24"/>
        </w:rPr>
        <w:t xml:space="preserve">, da Constituição Estadual prevê: “Todos têm direito ao meio ambiente ecologicamente equilibrado, </w:t>
      </w:r>
      <w:r w:rsidRPr="00E145C7">
        <w:rPr>
          <w:rFonts w:ascii="Palatino Linotype" w:hAnsi="Palatino Linotype"/>
          <w:b/>
          <w:sz w:val="24"/>
          <w:szCs w:val="24"/>
        </w:rPr>
        <w:t>impondo-se ao Poder Público e à c</w:t>
      </w:r>
      <w:r w:rsidRPr="00E145C7">
        <w:rPr>
          <w:rFonts w:ascii="Palatino Linotype" w:hAnsi="Palatino Linotype"/>
          <w:b/>
          <w:sz w:val="24"/>
          <w:szCs w:val="24"/>
        </w:rPr>
        <w:t>o</w:t>
      </w:r>
      <w:r w:rsidRPr="00E145C7">
        <w:rPr>
          <w:rFonts w:ascii="Palatino Linotype" w:hAnsi="Palatino Linotype"/>
          <w:b/>
          <w:sz w:val="24"/>
          <w:szCs w:val="24"/>
        </w:rPr>
        <w:t>letividade</w:t>
      </w:r>
      <w:r w:rsidRPr="00E145C7">
        <w:rPr>
          <w:rFonts w:ascii="Palatino Linotype" w:hAnsi="Palatino Linotype"/>
          <w:sz w:val="24"/>
          <w:szCs w:val="24"/>
        </w:rPr>
        <w:t xml:space="preserve"> o dever de defendê-lo, preservá-lo e restaurá-lo para as presentes e fut</w:t>
      </w:r>
      <w:r w:rsidRPr="00E145C7">
        <w:rPr>
          <w:rFonts w:ascii="Palatino Linotype" w:hAnsi="Palatino Linotype"/>
          <w:sz w:val="24"/>
          <w:szCs w:val="24"/>
        </w:rPr>
        <w:t>u</w:t>
      </w:r>
      <w:r w:rsidRPr="00E145C7">
        <w:rPr>
          <w:rFonts w:ascii="Palatino Linotype" w:hAnsi="Palatino Linotype"/>
          <w:sz w:val="24"/>
          <w:szCs w:val="24"/>
        </w:rPr>
        <w:t>ras gerações, cabendo a todos exigir do Poder Públ</w:t>
      </w:r>
      <w:r w:rsidRPr="00E145C7">
        <w:rPr>
          <w:rFonts w:ascii="Palatino Linotype" w:hAnsi="Palatino Linotype"/>
          <w:sz w:val="24"/>
          <w:szCs w:val="24"/>
        </w:rPr>
        <w:t>i</w:t>
      </w:r>
      <w:r w:rsidRPr="00E145C7">
        <w:rPr>
          <w:rFonts w:ascii="Palatino Linotype" w:hAnsi="Palatino Linotype"/>
          <w:sz w:val="24"/>
          <w:szCs w:val="24"/>
        </w:rPr>
        <w:t>co a adoção de medidas nesse sentido.”</w:t>
      </w:r>
    </w:p>
    <w:p w:rsidR="002E13F9" w:rsidRPr="00E145C7" w:rsidRDefault="002E13F9" w:rsidP="00940D9E">
      <w:pPr>
        <w:spacing w:after="0" w:line="360" w:lineRule="auto"/>
        <w:ind w:firstLine="1134"/>
        <w:jc w:val="both"/>
        <w:rPr>
          <w:rFonts w:ascii="Palatino Linotype" w:hAnsi="Palatino Linotype"/>
          <w:sz w:val="24"/>
          <w:szCs w:val="24"/>
        </w:rPr>
      </w:pPr>
    </w:p>
    <w:p w:rsidR="002E13F9" w:rsidRPr="00E145C7" w:rsidRDefault="002E13F9" w:rsidP="00940D9E">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lastRenderedPageBreak/>
        <w:t>A jurisprudência dos tribunais estaduais já apreciou a constitucionalidade de leis similares que instituíram políticas de incentivos fiscais em contr</w:t>
      </w:r>
      <w:r w:rsidR="006336AD" w:rsidRPr="00E145C7">
        <w:rPr>
          <w:rFonts w:ascii="Palatino Linotype" w:hAnsi="Palatino Linotype"/>
          <w:sz w:val="24"/>
          <w:szCs w:val="24"/>
        </w:rPr>
        <w:t>apartida a práticas sustentáveis como forma de motivar a proteção do meio ambiente ecolog</w:t>
      </w:r>
      <w:r w:rsidR="006336AD" w:rsidRPr="00E145C7">
        <w:rPr>
          <w:rFonts w:ascii="Palatino Linotype" w:hAnsi="Palatino Linotype"/>
          <w:sz w:val="24"/>
          <w:szCs w:val="24"/>
        </w:rPr>
        <w:t>i</w:t>
      </w:r>
      <w:r w:rsidR="006336AD" w:rsidRPr="00E145C7">
        <w:rPr>
          <w:rFonts w:ascii="Palatino Linotype" w:hAnsi="Palatino Linotype"/>
          <w:sz w:val="24"/>
          <w:szCs w:val="24"/>
        </w:rPr>
        <w:t>camente equilibrado, r</w:t>
      </w:r>
      <w:r w:rsidR="006336AD" w:rsidRPr="00E145C7">
        <w:rPr>
          <w:rFonts w:ascii="Palatino Linotype" w:hAnsi="Palatino Linotype"/>
          <w:sz w:val="24"/>
          <w:szCs w:val="24"/>
        </w:rPr>
        <w:t>e</w:t>
      </w:r>
      <w:r w:rsidR="006336AD" w:rsidRPr="00E145C7">
        <w:rPr>
          <w:rFonts w:ascii="Palatino Linotype" w:hAnsi="Palatino Linotype"/>
          <w:sz w:val="24"/>
          <w:szCs w:val="24"/>
        </w:rPr>
        <w:t>conhecendo a ausência de vícios formais e materiais:</w:t>
      </w:r>
    </w:p>
    <w:p w:rsidR="002E13F9" w:rsidRPr="00E145C7" w:rsidRDefault="002E13F9" w:rsidP="00940D9E">
      <w:pPr>
        <w:spacing w:after="0" w:line="360" w:lineRule="auto"/>
        <w:ind w:firstLine="1134"/>
        <w:jc w:val="both"/>
        <w:rPr>
          <w:rFonts w:ascii="Palatino Linotype" w:hAnsi="Palatino Linotype"/>
          <w:sz w:val="24"/>
          <w:szCs w:val="24"/>
        </w:rPr>
      </w:pPr>
    </w:p>
    <w:p w:rsidR="002E13F9" w:rsidRPr="00E145C7" w:rsidRDefault="002E13F9" w:rsidP="006336AD">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AÇÃO DIRETA DE INCONSTITUCIONALIDADE – LEI Nº 5.078, DE 11 DE SETEMBRO DE 2015, QUE "AUTORIZA O PODER EXECUTIVO A INST</w:t>
      </w:r>
      <w:r w:rsidRPr="00E145C7">
        <w:rPr>
          <w:rFonts w:ascii="Palatino Linotype" w:hAnsi="Palatino Linotype"/>
          <w:sz w:val="20"/>
          <w:szCs w:val="20"/>
        </w:rPr>
        <w:t>I</w:t>
      </w:r>
      <w:r w:rsidRPr="00E145C7">
        <w:rPr>
          <w:rFonts w:ascii="Palatino Linotype" w:hAnsi="Palatino Linotype"/>
          <w:sz w:val="20"/>
          <w:szCs w:val="20"/>
        </w:rPr>
        <w:t xml:space="preserve">TUIR O PROGRAMA DE INCENTIVO E DESCONTO, DENOMINADO </w:t>
      </w:r>
      <w:r w:rsidRPr="00E145C7">
        <w:rPr>
          <w:rFonts w:ascii="Palatino Linotype" w:hAnsi="Palatino Linotype"/>
          <w:b/>
          <w:sz w:val="20"/>
          <w:szCs w:val="20"/>
        </w:rPr>
        <w:t>'IPTU VERDE'</w:t>
      </w:r>
      <w:r w:rsidRPr="00E145C7">
        <w:rPr>
          <w:rFonts w:ascii="Palatino Linotype" w:hAnsi="Palatino Linotype"/>
          <w:sz w:val="20"/>
          <w:szCs w:val="20"/>
        </w:rPr>
        <w:t xml:space="preserve"> NO ÂMBITO DO MUNICÍPIO DE TAUBATÉ E DÁ O</w:t>
      </w:r>
      <w:r w:rsidRPr="00E145C7">
        <w:rPr>
          <w:rFonts w:ascii="Palatino Linotype" w:hAnsi="Palatino Linotype"/>
          <w:sz w:val="20"/>
          <w:szCs w:val="20"/>
        </w:rPr>
        <w:t>U</w:t>
      </w:r>
      <w:r w:rsidRPr="00E145C7">
        <w:rPr>
          <w:rFonts w:ascii="Palatino Linotype" w:hAnsi="Palatino Linotype"/>
          <w:sz w:val="20"/>
          <w:szCs w:val="20"/>
        </w:rPr>
        <w:t>TRAS PROVIDÊNCIAS" – ATO NORMATIVO DE AUTORIA PARL</w:t>
      </w:r>
      <w:r w:rsidRPr="00E145C7">
        <w:rPr>
          <w:rFonts w:ascii="Palatino Linotype" w:hAnsi="Palatino Linotype"/>
          <w:sz w:val="20"/>
          <w:szCs w:val="20"/>
        </w:rPr>
        <w:t>A</w:t>
      </w:r>
      <w:r w:rsidRPr="00E145C7">
        <w:rPr>
          <w:rFonts w:ascii="Palatino Linotype" w:hAnsi="Palatino Linotype"/>
          <w:sz w:val="20"/>
          <w:szCs w:val="20"/>
        </w:rPr>
        <w:t>MENTAR</w:t>
      </w:r>
      <w:r w:rsidR="006336AD" w:rsidRPr="00E145C7">
        <w:rPr>
          <w:rFonts w:ascii="Palatino Linotype" w:hAnsi="Palatino Linotype"/>
          <w:sz w:val="20"/>
          <w:szCs w:val="20"/>
        </w:rPr>
        <w:t xml:space="preserve"> – </w:t>
      </w:r>
      <w:r w:rsidRPr="00E145C7">
        <w:rPr>
          <w:rFonts w:ascii="Palatino Linotype" w:hAnsi="Palatino Linotype"/>
          <w:b/>
          <w:sz w:val="20"/>
          <w:szCs w:val="20"/>
        </w:rPr>
        <w:t>COMPETÊNCIA LEGISLATIVA CONCORRENTE</w:t>
      </w:r>
      <w:r w:rsidRPr="00E145C7">
        <w:rPr>
          <w:rFonts w:ascii="Palatino Linotype" w:hAnsi="Palatino Linotype"/>
          <w:sz w:val="20"/>
          <w:szCs w:val="20"/>
        </w:rPr>
        <w:t xml:space="preserve"> – REPE</w:t>
      </w:r>
      <w:r w:rsidRPr="00E145C7">
        <w:rPr>
          <w:rFonts w:ascii="Palatino Linotype" w:hAnsi="Palatino Linotype"/>
          <w:sz w:val="20"/>
          <w:szCs w:val="20"/>
        </w:rPr>
        <w:t>R</w:t>
      </w:r>
      <w:r w:rsidRPr="00E145C7">
        <w:rPr>
          <w:rFonts w:ascii="Palatino Linotype" w:hAnsi="Palatino Linotype"/>
          <w:sz w:val="20"/>
          <w:szCs w:val="20"/>
        </w:rPr>
        <w:t>CUSSÃO NO O</w:t>
      </w:r>
      <w:r w:rsidRPr="00E145C7">
        <w:rPr>
          <w:rFonts w:ascii="Palatino Linotype" w:hAnsi="Palatino Linotype"/>
          <w:sz w:val="20"/>
          <w:szCs w:val="20"/>
        </w:rPr>
        <w:t>R</w:t>
      </w:r>
      <w:r w:rsidRPr="00E145C7">
        <w:rPr>
          <w:rFonts w:ascii="Palatino Linotype" w:hAnsi="Palatino Linotype"/>
          <w:sz w:val="20"/>
          <w:szCs w:val="20"/>
        </w:rPr>
        <w:t>ÇAMENTO MUNICIPAL – IRRELEVÂNCIA – AFRONTA AO DISPOSTO NO ARTIGO 5º E §§ 2º E 6º DO ARTIGO 174 DA CONST</w:t>
      </w:r>
      <w:r w:rsidRPr="00E145C7">
        <w:rPr>
          <w:rFonts w:ascii="Palatino Linotype" w:hAnsi="Palatino Linotype"/>
          <w:sz w:val="20"/>
          <w:szCs w:val="20"/>
        </w:rPr>
        <w:t>I</w:t>
      </w:r>
      <w:r w:rsidRPr="00E145C7">
        <w:rPr>
          <w:rFonts w:ascii="Palatino Linotype" w:hAnsi="Palatino Linotype"/>
          <w:sz w:val="20"/>
          <w:szCs w:val="20"/>
        </w:rPr>
        <w:t>TUIÇÃO ESTADUAL – INOCORRÊNCIA – PR</w:t>
      </w:r>
      <w:r w:rsidRPr="00E145C7">
        <w:rPr>
          <w:rFonts w:ascii="Palatino Linotype" w:hAnsi="Palatino Linotype"/>
          <w:sz w:val="20"/>
          <w:szCs w:val="20"/>
        </w:rPr>
        <w:t>E</w:t>
      </w:r>
      <w:r w:rsidRPr="00E145C7">
        <w:rPr>
          <w:rFonts w:ascii="Palatino Linotype" w:hAnsi="Palatino Linotype"/>
          <w:sz w:val="20"/>
          <w:szCs w:val="20"/>
        </w:rPr>
        <w:t xml:space="preserve">CEDENTES DO STF E DO ÓRGÃO ESPECIAL DESTA CORTE - IMPROCEDÊNCIA DA </w:t>
      </w:r>
      <w:r w:rsidRPr="00E145C7">
        <w:rPr>
          <w:rFonts w:ascii="Palatino Linotype" w:hAnsi="Palatino Linotype"/>
          <w:sz w:val="20"/>
          <w:szCs w:val="20"/>
        </w:rPr>
        <w:t>A</w:t>
      </w:r>
      <w:r w:rsidRPr="00E145C7">
        <w:rPr>
          <w:rFonts w:ascii="Palatino Linotype" w:hAnsi="Palatino Linotype"/>
          <w:sz w:val="20"/>
          <w:szCs w:val="20"/>
        </w:rPr>
        <w:t>ÇÃO. (TJSP; Direta de Inconstitucionalidade 2248567-25.2015.8.26.0000; Relator (a): João Negrini Filho; Órgão Julgador: Órgão Especial; Tribunal de Justiça de São Paulo - N/A; Data do Julgamento: 27/07/2016; Data de Registro: 29/07/2016)</w:t>
      </w:r>
    </w:p>
    <w:p w:rsidR="006336AD" w:rsidRPr="00E145C7" w:rsidRDefault="006336AD" w:rsidP="006336AD">
      <w:pPr>
        <w:spacing w:after="0" w:line="240" w:lineRule="auto"/>
        <w:ind w:left="2268"/>
        <w:jc w:val="both"/>
        <w:rPr>
          <w:rFonts w:ascii="Palatino Linotype" w:hAnsi="Palatino Linotype"/>
          <w:sz w:val="20"/>
          <w:szCs w:val="20"/>
        </w:rPr>
      </w:pPr>
    </w:p>
    <w:p w:rsidR="006336AD" w:rsidRPr="00E145C7" w:rsidRDefault="006336AD" w:rsidP="006336AD">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AÇÃO DIRETA DE INCONSTITUCIONALIDADE – Art. 2º, caput e § 2º, da Lei Compl</w:t>
      </w:r>
      <w:r w:rsidRPr="00E145C7">
        <w:rPr>
          <w:rFonts w:ascii="Palatino Linotype" w:hAnsi="Palatino Linotype"/>
          <w:sz w:val="20"/>
          <w:szCs w:val="20"/>
        </w:rPr>
        <w:t>e</w:t>
      </w:r>
      <w:r w:rsidRPr="00E145C7">
        <w:rPr>
          <w:rFonts w:ascii="Palatino Linotype" w:hAnsi="Palatino Linotype"/>
          <w:sz w:val="20"/>
          <w:szCs w:val="20"/>
        </w:rPr>
        <w:t>mentar nº 3.025, de 29-4-2020, do Município de Ribeirão Preto, de origem parl</w:t>
      </w:r>
      <w:r w:rsidRPr="00E145C7">
        <w:rPr>
          <w:rFonts w:ascii="Palatino Linotype" w:hAnsi="Palatino Linotype"/>
          <w:sz w:val="20"/>
          <w:szCs w:val="20"/>
        </w:rPr>
        <w:t>a</w:t>
      </w:r>
      <w:r w:rsidRPr="00E145C7">
        <w:rPr>
          <w:rFonts w:ascii="Palatino Linotype" w:hAnsi="Palatino Linotype"/>
          <w:sz w:val="20"/>
          <w:szCs w:val="20"/>
        </w:rPr>
        <w:t>mentar – Norma que altera o prazo final para requerer benefício tributário denominado 'IPTU VERDE' – Incompatibilidade com os arts. 5º, 24, § 2º, '2', 47, II e XIV, da CE/89 – Inocorrência. 1 – 'Norma jurídica que e</w:t>
      </w:r>
      <w:r w:rsidRPr="00E145C7">
        <w:rPr>
          <w:rFonts w:ascii="Palatino Linotype" w:hAnsi="Palatino Linotype"/>
          <w:sz w:val="20"/>
          <w:szCs w:val="20"/>
        </w:rPr>
        <w:t>s</w:t>
      </w:r>
      <w:r w:rsidRPr="00E145C7">
        <w:rPr>
          <w:rFonts w:ascii="Palatino Linotype" w:hAnsi="Palatino Linotype"/>
          <w:sz w:val="20"/>
          <w:szCs w:val="20"/>
        </w:rPr>
        <w:t>tabelece prazo em processo administrativo, como os termos para aquisição de direitos ou faculdades, não se i</w:t>
      </w:r>
      <w:r w:rsidRPr="00E145C7">
        <w:rPr>
          <w:rFonts w:ascii="Palatino Linotype" w:hAnsi="Palatino Linotype"/>
          <w:sz w:val="20"/>
          <w:szCs w:val="20"/>
        </w:rPr>
        <w:t>n</w:t>
      </w:r>
      <w:r w:rsidRPr="00E145C7">
        <w:rPr>
          <w:rFonts w:ascii="Palatino Linotype" w:hAnsi="Palatino Linotype"/>
          <w:sz w:val="20"/>
          <w:szCs w:val="20"/>
        </w:rPr>
        <w:t>sere na reserva da Administração nem na reserva de iniciativa legislativa do Chefe do Poder Executivo porque não e</w:t>
      </w:r>
      <w:r w:rsidRPr="00E145C7">
        <w:rPr>
          <w:rFonts w:ascii="Palatino Linotype" w:hAnsi="Palatino Linotype"/>
          <w:sz w:val="20"/>
          <w:szCs w:val="20"/>
        </w:rPr>
        <w:t>s</w:t>
      </w:r>
      <w:r w:rsidRPr="00E145C7">
        <w:rPr>
          <w:rFonts w:ascii="Palatino Linotype" w:hAnsi="Palatino Linotype"/>
          <w:sz w:val="20"/>
          <w:szCs w:val="20"/>
        </w:rPr>
        <w:t>tão inseridas nessas esferas, cuja interpretação é restritiva'. 2 – Ação impr</w:t>
      </w:r>
      <w:r w:rsidRPr="00E145C7">
        <w:rPr>
          <w:rFonts w:ascii="Palatino Linotype" w:hAnsi="Palatino Linotype"/>
          <w:sz w:val="20"/>
          <w:szCs w:val="20"/>
        </w:rPr>
        <w:t>o</w:t>
      </w:r>
      <w:r w:rsidRPr="00E145C7">
        <w:rPr>
          <w:rFonts w:ascii="Palatino Linotype" w:hAnsi="Palatino Linotype"/>
          <w:sz w:val="20"/>
          <w:szCs w:val="20"/>
        </w:rPr>
        <w:t>cedente. Cassada a liminar. (TJSP; Direta de Inconstit</w:t>
      </w:r>
      <w:r w:rsidRPr="00E145C7">
        <w:rPr>
          <w:rFonts w:ascii="Palatino Linotype" w:hAnsi="Palatino Linotype"/>
          <w:sz w:val="20"/>
          <w:szCs w:val="20"/>
        </w:rPr>
        <w:t>u</w:t>
      </w:r>
      <w:r w:rsidRPr="00E145C7">
        <w:rPr>
          <w:rFonts w:ascii="Palatino Linotype" w:hAnsi="Palatino Linotype"/>
          <w:sz w:val="20"/>
          <w:szCs w:val="20"/>
        </w:rPr>
        <w:t>cionalidade 2166249-09.2020.8.26.0000; Relator (a): Carlos Bueno; Órgão Julgador: Órgão Especial; Tribunal de Justiça de São Paulo - N/A; Data do Julgamento: 03/03/2021; D</w:t>
      </w:r>
      <w:r w:rsidRPr="00E145C7">
        <w:rPr>
          <w:rFonts w:ascii="Palatino Linotype" w:hAnsi="Palatino Linotype"/>
          <w:sz w:val="20"/>
          <w:szCs w:val="20"/>
        </w:rPr>
        <w:t>a</w:t>
      </w:r>
      <w:r w:rsidRPr="00E145C7">
        <w:rPr>
          <w:rFonts w:ascii="Palatino Linotype" w:hAnsi="Palatino Linotype"/>
          <w:sz w:val="20"/>
          <w:szCs w:val="20"/>
        </w:rPr>
        <w:t>ta de Registro: 05/03/2021)</w:t>
      </w:r>
    </w:p>
    <w:p w:rsidR="006336AD" w:rsidRPr="00E145C7" w:rsidRDefault="006336AD" w:rsidP="006336AD">
      <w:pPr>
        <w:spacing w:after="0" w:line="240" w:lineRule="auto"/>
        <w:ind w:left="2268"/>
        <w:jc w:val="both"/>
        <w:rPr>
          <w:rFonts w:ascii="Palatino Linotype" w:hAnsi="Palatino Linotype"/>
          <w:sz w:val="20"/>
          <w:szCs w:val="20"/>
        </w:rPr>
      </w:pPr>
    </w:p>
    <w:p w:rsidR="006336AD" w:rsidRPr="00E145C7" w:rsidRDefault="006336AD" w:rsidP="006336AD">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AÇÃO DIRETA DE INCONSTITUCIONALIDADE – Lei n. 3.118, de 26 de abril de 2019, que "Cria o Programa IPTU Verde e autoriza a concessão de desconto no Imposto Predial e Territorial Urbano ao uso de tecnologias a</w:t>
      </w:r>
      <w:r w:rsidRPr="00E145C7">
        <w:rPr>
          <w:rFonts w:ascii="Palatino Linotype" w:hAnsi="Palatino Linotype"/>
          <w:sz w:val="20"/>
          <w:szCs w:val="20"/>
        </w:rPr>
        <w:t>m</w:t>
      </w:r>
      <w:r w:rsidRPr="00E145C7">
        <w:rPr>
          <w:rFonts w:ascii="Palatino Linotype" w:hAnsi="Palatino Linotype"/>
          <w:sz w:val="20"/>
          <w:szCs w:val="20"/>
        </w:rPr>
        <w:t>bientais sustentáveis". ISENÇÃO TRIBUTÁRIA – Ausência de inconstituci</w:t>
      </w:r>
      <w:r w:rsidRPr="00E145C7">
        <w:rPr>
          <w:rFonts w:ascii="Palatino Linotype" w:hAnsi="Palatino Linotype"/>
          <w:sz w:val="20"/>
          <w:szCs w:val="20"/>
        </w:rPr>
        <w:t>o</w:t>
      </w:r>
      <w:r w:rsidRPr="00E145C7">
        <w:rPr>
          <w:rFonts w:ascii="Palatino Linotype" w:hAnsi="Palatino Linotype"/>
          <w:sz w:val="20"/>
          <w:szCs w:val="20"/>
        </w:rPr>
        <w:t>nalidade formal decorrente de vício de iniciativa – Entendimento consagr</w:t>
      </w:r>
      <w:r w:rsidRPr="00E145C7">
        <w:rPr>
          <w:rFonts w:ascii="Palatino Linotype" w:hAnsi="Palatino Linotype"/>
          <w:sz w:val="20"/>
          <w:szCs w:val="20"/>
        </w:rPr>
        <w:t>a</w:t>
      </w:r>
      <w:r w:rsidRPr="00E145C7">
        <w:rPr>
          <w:rFonts w:ascii="Palatino Linotype" w:hAnsi="Palatino Linotype"/>
          <w:sz w:val="20"/>
          <w:szCs w:val="20"/>
        </w:rPr>
        <w:t>do pelo E. STF de que de que a competência p</w:t>
      </w:r>
      <w:r w:rsidRPr="00E145C7">
        <w:rPr>
          <w:rFonts w:ascii="Palatino Linotype" w:hAnsi="Palatino Linotype"/>
          <w:sz w:val="20"/>
          <w:szCs w:val="20"/>
        </w:rPr>
        <w:t>a</w:t>
      </w:r>
      <w:r w:rsidRPr="00E145C7">
        <w:rPr>
          <w:rFonts w:ascii="Palatino Linotype" w:hAnsi="Palatino Linotype"/>
          <w:sz w:val="20"/>
          <w:szCs w:val="20"/>
        </w:rPr>
        <w:t>ra iniciar processo legislativo sobre matéria tributária não é privativa do Poder Executivo – Inocorrência de criação de despesa sem a correspondente previsão de cu</w:t>
      </w:r>
      <w:r w:rsidRPr="00E145C7">
        <w:rPr>
          <w:rFonts w:ascii="Palatino Linotype" w:hAnsi="Palatino Linotype"/>
          <w:sz w:val="20"/>
          <w:szCs w:val="20"/>
        </w:rPr>
        <w:t>s</w:t>
      </w:r>
      <w:r w:rsidRPr="00E145C7">
        <w:rPr>
          <w:rFonts w:ascii="Palatino Linotype" w:hAnsi="Palatino Linotype"/>
          <w:sz w:val="20"/>
          <w:szCs w:val="20"/>
        </w:rPr>
        <w:t xml:space="preserve">teio. MATÉRIAS INSERIDAS NA RESERVA DE ADMINISTRAÇÃO E FIXAÇÃO DE PRAZO PARA REGULAMENTAÇÃO – </w:t>
      </w:r>
      <w:r w:rsidRPr="00E145C7">
        <w:rPr>
          <w:rFonts w:ascii="Palatino Linotype" w:hAnsi="Palatino Linotype"/>
          <w:b/>
          <w:sz w:val="20"/>
          <w:szCs w:val="20"/>
        </w:rPr>
        <w:t xml:space="preserve">Não pode o Poder Legislativo estipular </w:t>
      </w:r>
      <w:r w:rsidRPr="00E145C7">
        <w:rPr>
          <w:rFonts w:ascii="Palatino Linotype" w:hAnsi="Palatino Linotype"/>
          <w:b/>
          <w:sz w:val="20"/>
          <w:szCs w:val="20"/>
        </w:rPr>
        <w:t>a</w:t>
      </w:r>
      <w:r w:rsidRPr="00E145C7">
        <w:rPr>
          <w:rFonts w:ascii="Palatino Linotype" w:hAnsi="Palatino Linotype"/>
          <w:b/>
          <w:sz w:val="20"/>
          <w:szCs w:val="20"/>
        </w:rPr>
        <w:t>tribuições à Secretaria Municipal</w:t>
      </w:r>
      <w:r w:rsidRPr="00E145C7">
        <w:rPr>
          <w:rFonts w:ascii="Palatino Linotype" w:hAnsi="Palatino Linotype"/>
          <w:sz w:val="20"/>
          <w:szCs w:val="20"/>
        </w:rPr>
        <w:t xml:space="preserve"> – Ademais, a regulamentação de lei ins</w:t>
      </w:r>
      <w:r w:rsidRPr="00E145C7">
        <w:rPr>
          <w:rFonts w:ascii="Palatino Linotype" w:hAnsi="Palatino Linotype"/>
          <w:sz w:val="20"/>
          <w:szCs w:val="20"/>
        </w:rPr>
        <w:t>e</w:t>
      </w:r>
      <w:r w:rsidRPr="00E145C7">
        <w:rPr>
          <w:rFonts w:ascii="Palatino Linotype" w:hAnsi="Palatino Linotype"/>
          <w:sz w:val="20"/>
          <w:szCs w:val="20"/>
        </w:rPr>
        <w:lastRenderedPageBreak/>
        <w:t xml:space="preserve">re-se na competência privativa do Poder Executivo – </w:t>
      </w:r>
      <w:r w:rsidRPr="00E145C7">
        <w:rPr>
          <w:rFonts w:ascii="Palatino Linotype" w:hAnsi="Palatino Linotype"/>
          <w:b/>
          <w:sz w:val="20"/>
          <w:szCs w:val="20"/>
        </w:rPr>
        <w:t>A fixação de prazo p</w:t>
      </w:r>
      <w:r w:rsidRPr="00E145C7">
        <w:rPr>
          <w:rFonts w:ascii="Palatino Linotype" w:hAnsi="Palatino Linotype"/>
          <w:b/>
          <w:sz w:val="20"/>
          <w:szCs w:val="20"/>
        </w:rPr>
        <w:t>a</w:t>
      </w:r>
      <w:r w:rsidRPr="00E145C7">
        <w:rPr>
          <w:rFonts w:ascii="Palatino Linotype" w:hAnsi="Palatino Linotype"/>
          <w:b/>
          <w:sz w:val="20"/>
          <w:szCs w:val="20"/>
        </w:rPr>
        <w:t>ra regulamentação ofende o princípio da separação dos poderes</w:t>
      </w:r>
      <w:r w:rsidRPr="00E145C7">
        <w:rPr>
          <w:rFonts w:ascii="Palatino Linotype" w:hAnsi="Palatino Linotype"/>
          <w:sz w:val="20"/>
          <w:szCs w:val="20"/>
        </w:rPr>
        <w:t xml:space="preserve"> – Violação aos artigos 5º e 47, incisos II e XIV, da Constituição Estadual – Inconstituci</w:t>
      </w:r>
      <w:r w:rsidRPr="00E145C7">
        <w:rPr>
          <w:rFonts w:ascii="Palatino Linotype" w:hAnsi="Palatino Linotype"/>
          <w:sz w:val="20"/>
          <w:szCs w:val="20"/>
        </w:rPr>
        <w:t>o</w:t>
      </w:r>
      <w:r w:rsidRPr="00E145C7">
        <w:rPr>
          <w:rFonts w:ascii="Palatino Linotype" w:hAnsi="Palatino Linotype"/>
          <w:sz w:val="20"/>
          <w:szCs w:val="20"/>
        </w:rPr>
        <w:t>nalidade, todavia, limitada aos artigos 6º, caput e § 1º, 10 e à expressão "no prazo de 90 (noventa dias), contados a partir dessa data" constante do 13, todos da lei vergastada. Ação julgada parcialmente procedente. (TJSP; Direta de Inconstitucionalidade 2105537-87.2019.8.26.0000; Relator (a): Moacir P</w:t>
      </w:r>
      <w:r w:rsidRPr="00E145C7">
        <w:rPr>
          <w:rFonts w:ascii="Palatino Linotype" w:hAnsi="Palatino Linotype"/>
          <w:sz w:val="20"/>
          <w:szCs w:val="20"/>
        </w:rPr>
        <w:t>e</w:t>
      </w:r>
      <w:r w:rsidRPr="00E145C7">
        <w:rPr>
          <w:rFonts w:ascii="Palatino Linotype" w:hAnsi="Palatino Linotype"/>
          <w:sz w:val="20"/>
          <w:szCs w:val="20"/>
        </w:rPr>
        <w:t>res; Órgão Julgador: Órgão Especial; Tribunal de Justiça de São Paulo - N/A; Data do Julgamento: 13/11/2019; Data de Registro: 19/11/2019)</w:t>
      </w:r>
    </w:p>
    <w:p w:rsidR="006336AD" w:rsidRPr="00E145C7" w:rsidRDefault="006336AD" w:rsidP="006336AD">
      <w:pPr>
        <w:spacing w:after="0" w:line="240" w:lineRule="auto"/>
        <w:ind w:left="2268"/>
        <w:jc w:val="both"/>
        <w:rPr>
          <w:rFonts w:ascii="Palatino Linotype" w:hAnsi="Palatino Linotype"/>
          <w:sz w:val="20"/>
          <w:szCs w:val="20"/>
        </w:rPr>
      </w:pPr>
    </w:p>
    <w:p w:rsidR="006336AD" w:rsidRPr="00E145C7" w:rsidRDefault="006336AD" w:rsidP="006336AD">
      <w:pPr>
        <w:spacing w:after="0" w:line="240" w:lineRule="auto"/>
        <w:ind w:left="2268"/>
        <w:jc w:val="both"/>
        <w:rPr>
          <w:rFonts w:ascii="Palatino Linotype" w:hAnsi="Palatino Linotype"/>
          <w:sz w:val="20"/>
          <w:szCs w:val="20"/>
        </w:rPr>
      </w:pPr>
    </w:p>
    <w:p w:rsidR="00C65972" w:rsidRPr="00E145C7" w:rsidRDefault="006336AD" w:rsidP="00940D9E">
      <w:pPr>
        <w:spacing w:after="0" w:line="360" w:lineRule="auto"/>
        <w:ind w:firstLine="1134"/>
        <w:jc w:val="both"/>
        <w:rPr>
          <w:rFonts w:ascii="Palatino Linotype" w:hAnsi="Palatino Linotype"/>
          <w:b/>
          <w:sz w:val="24"/>
          <w:szCs w:val="24"/>
        </w:rPr>
      </w:pPr>
      <w:r w:rsidRPr="00E145C7">
        <w:rPr>
          <w:rFonts w:ascii="Palatino Linotype" w:hAnsi="Palatino Linotype"/>
          <w:sz w:val="24"/>
          <w:szCs w:val="24"/>
        </w:rPr>
        <w:t>Como se</w:t>
      </w:r>
      <w:r w:rsidR="00C65972" w:rsidRPr="00E145C7">
        <w:rPr>
          <w:rFonts w:ascii="Palatino Linotype" w:hAnsi="Palatino Linotype"/>
          <w:sz w:val="24"/>
          <w:szCs w:val="24"/>
        </w:rPr>
        <w:t xml:space="preserve"> constata </w:t>
      </w:r>
      <w:r w:rsidRPr="00E145C7">
        <w:rPr>
          <w:rFonts w:ascii="Palatino Linotype" w:hAnsi="Palatino Linotype"/>
          <w:sz w:val="24"/>
          <w:szCs w:val="24"/>
        </w:rPr>
        <w:t xml:space="preserve">da leitura das ementas, não há </w:t>
      </w:r>
      <w:r w:rsidR="00C65972" w:rsidRPr="00E145C7">
        <w:rPr>
          <w:rFonts w:ascii="Palatino Linotype" w:hAnsi="Palatino Linotype"/>
          <w:sz w:val="24"/>
          <w:szCs w:val="24"/>
        </w:rPr>
        <w:t xml:space="preserve">reserva de iniciativa ao Chefe do Executivo na proposição de projetos envolvendo matéria tributária, porque não estão compreendidos nas hipóteses restritas do art. 61, § 1º, da CF/88 e do art. 60 da CE/RS. De tal forma, em termos gerais, a proposição em análise é válida, </w:t>
      </w:r>
      <w:r w:rsidR="00C65972" w:rsidRPr="00E145C7">
        <w:rPr>
          <w:rFonts w:ascii="Palatino Linotype" w:hAnsi="Palatino Linotype"/>
          <w:b/>
          <w:sz w:val="24"/>
          <w:szCs w:val="24"/>
        </w:rPr>
        <w:t>desde que suprimido o art. 9º, já que define, por iniciativa parlamentar, o órgão comp</w:t>
      </w:r>
      <w:r w:rsidR="00C65972" w:rsidRPr="00E145C7">
        <w:rPr>
          <w:rFonts w:ascii="Palatino Linotype" w:hAnsi="Palatino Linotype"/>
          <w:b/>
          <w:sz w:val="24"/>
          <w:szCs w:val="24"/>
        </w:rPr>
        <w:t>e</w:t>
      </w:r>
      <w:r w:rsidR="00C65972" w:rsidRPr="00E145C7">
        <w:rPr>
          <w:rFonts w:ascii="Palatino Linotype" w:hAnsi="Palatino Linotype"/>
          <w:b/>
          <w:sz w:val="24"/>
          <w:szCs w:val="24"/>
        </w:rPr>
        <w:t>tente para a fiscalização do cumprimento das condicionantes do benefício tribut</w:t>
      </w:r>
      <w:r w:rsidR="00C65972" w:rsidRPr="00E145C7">
        <w:rPr>
          <w:rFonts w:ascii="Palatino Linotype" w:hAnsi="Palatino Linotype"/>
          <w:b/>
          <w:sz w:val="24"/>
          <w:szCs w:val="24"/>
        </w:rPr>
        <w:t>á</w:t>
      </w:r>
      <w:r w:rsidR="00C65972" w:rsidRPr="00E145C7">
        <w:rPr>
          <w:rFonts w:ascii="Palatino Linotype" w:hAnsi="Palatino Linotype"/>
          <w:b/>
          <w:sz w:val="24"/>
          <w:szCs w:val="24"/>
        </w:rPr>
        <w:t>rio, o que invade a reserva de administração baseada na separação dos poderes, como indica a última ementa transcrita.</w:t>
      </w:r>
    </w:p>
    <w:p w:rsidR="00C65972" w:rsidRPr="00E145C7" w:rsidRDefault="00C65972" w:rsidP="00940D9E">
      <w:pPr>
        <w:spacing w:after="0" w:line="360" w:lineRule="auto"/>
        <w:ind w:firstLine="1134"/>
        <w:jc w:val="both"/>
        <w:rPr>
          <w:rFonts w:ascii="Palatino Linotype" w:hAnsi="Palatino Linotype"/>
          <w:b/>
          <w:sz w:val="24"/>
          <w:szCs w:val="24"/>
        </w:rPr>
      </w:pPr>
    </w:p>
    <w:p w:rsidR="003A2F44" w:rsidRPr="00E145C7" w:rsidRDefault="00C65972" w:rsidP="00940D9E">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 xml:space="preserve">Além da retirada do art. 9º, </w:t>
      </w:r>
      <w:r w:rsidR="003A2F44" w:rsidRPr="00E145C7">
        <w:rPr>
          <w:rFonts w:ascii="Palatino Linotype" w:hAnsi="Palatino Linotype"/>
          <w:sz w:val="24"/>
          <w:szCs w:val="24"/>
        </w:rPr>
        <w:t>necessári</w:t>
      </w:r>
      <w:r w:rsidRPr="00E145C7">
        <w:rPr>
          <w:rFonts w:ascii="Palatino Linotype" w:hAnsi="Palatino Linotype"/>
          <w:sz w:val="24"/>
          <w:szCs w:val="24"/>
        </w:rPr>
        <w:t xml:space="preserve">o o </w:t>
      </w:r>
      <w:r w:rsidR="003A2F44" w:rsidRPr="00E145C7">
        <w:rPr>
          <w:rFonts w:ascii="Palatino Linotype" w:hAnsi="Palatino Linotype"/>
          <w:sz w:val="24"/>
          <w:szCs w:val="24"/>
        </w:rPr>
        <w:t>cumprimento das condições do art. 14 da Lei de Responsabilidade Fiscal (LRF) para a concessão de benefício de n</w:t>
      </w:r>
      <w:r w:rsidR="003A2F44" w:rsidRPr="00E145C7">
        <w:rPr>
          <w:rFonts w:ascii="Palatino Linotype" w:hAnsi="Palatino Linotype"/>
          <w:sz w:val="24"/>
          <w:szCs w:val="24"/>
        </w:rPr>
        <w:t>a</w:t>
      </w:r>
      <w:r w:rsidR="003A2F44" w:rsidRPr="00E145C7">
        <w:rPr>
          <w:rFonts w:ascii="Palatino Linotype" w:hAnsi="Palatino Linotype"/>
          <w:sz w:val="24"/>
          <w:szCs w:val="24"/>
        </w:rPr>
        <w:t>tureza tributária,</w:t>
      </w:r>
      <w:r w:rsidRPr="00E145C7">
        <w:rPr>
          <w:rFonts w:ascii="Palatino Linotype" w:hAnsi="Palatino Linotype"/>
          <w:sz w:val="24"/>
          <w:szCs w:val="24"/>
        </w:rPr>
        <w:t xml:space="preserve"> pois a </w:t>
      </w:r>
      <w:r w:rsidR="003A2F44" w:rsidRPr="00E145C7">
        <w:rPr>
          <w:rFonts w:ascii="Palatino Linotype" w:hAnsi="Palatino Linotype"/>
          <w:sz w:val="24"/>
          <w:szCs w:val="24"/>
        </w:rPr>
        <w:t xml:space="preserve">dispensa de observância das limitações legais sobre renúncia de receitas é circunscrita às proposições legislativas e atos do Poder Executivo </w:t>
      </w:r>
      <w:r w:rsidR="003A2F44" w:rsidRPr="00E145C7">
        <w:rPr>
          <w:rFonts w:ascii="Palatino Linotype" w:hAnsi="Palatino Linotype"/>
          <w:bCs/>
          <w:sz w:val="24"/>
          <w:szCs w:val="24"/>
        </w:rPr>
        <w:t>com propósito exclusivo de enfrentar o estado de calamidade pública e suas consequê</w:t>
      </w:r>
      <w:r w:rsidR="003A2F44" w:rsidRPr="00E145C7">
        <w:rPr>
          <w:rFonts w:ascii="Palatino Linotype" w:hAnsi="Palatino Linotype"/>
          <w:bCs/>
          <w:sz w:val="24"/>
          <w:szCs w:val="24"/>
        </w:rPr>
        <w:t>n</w:t>
      </w:r>
      <w:r w:rsidR="003A2F44" w:rsidRPr="00E145C7">
        <w:rPr>
          <w:rFonts w:ascii="Palatino Linotype" w:hAnsi="Palatino Linotype"/>
          <w:bCs/>
          <w:sz w:val="24"/>
          <w:szCs w:val="24"/>
        </w:rPr>
        <w:t>cias, cuja vigência e efeitos sejam restritos à duração desse estado excepcional de c</w:t>
      </w:r>
      <w:r w:rsidR="003A2F44" w:rsidRPr="00E145C7">
        <w:rPr>
          <w:rFonts w:ascii="Palatino Linotype" w:hAnsi="Palatino Linotype"/>
          <w:bCs/>
          <w:sz w:val="24"/>
          <w:szCs w:val="24"/>
        </w:rPr>
        <w:t>a</w:t>
      </w:r>
      <w:r w:rsidR="003A2F44" w:rsidRPr="00E145C7">
        <w:rPr>
          <w:rFonts w:ascii="Palatino Linotype" w:hAnsi="Palatino Linotype"/>
          <w:bCs/>
          <w:sz w:val="24"/>
          <w:szCs w:val="24"/>
        </w:rPr>
        <w:t>lamidade</w:t>
      </w:r>
      <w:r w:rsidR="003A2F44" w:rsidRPr="00E145C7">
        <w:rPr>
          <w:rFonts w:ascii="Palatino Linotype" w:hAnsi="Palatino Linotype"/>
          <w:sz w:val="24"/>
          <w:szCs w:val="24"/>
        </w:rPr>
        <w:t xml:space="preserve">, o que não é o caso da proposição, </w:t>
      </w:r>
      <w:r w:rsidRPr="00E145C7">
        <w:rPr>
          <w:rFonts w:ascii="Palatino Linotype" w:hAnsi="Palatino Linotype"/>
          <w:sz w:val="24"/>
          <w:szCs w:val="24"/>
        </w:rPr>
        <w:t xml:space="preserve">já que </w:t>
      </w:r>
      <w:r w:rsidR="003A2F44" w:rsidRPr="00E145C7">
        <w:rPr>
          <w:rFonts w:ascii="Palatino Linotype" w:hAnsi="Palatino Linotype"/>
          <w:sz w:val="24"/>
          <w:szCs w:val="24"/>
        </w:rPr>
        <w:t>a política de benefícios é definit</w:t>
      </w:r>
      <w:r w:rsidR="003A2F44" w:rsidRPr="00E145C7">
        <w:rPr>
          <w:rFonts w:ascii="Palatino Linotype" w:hAnsi="Palatino Linotype"/>
          <w:sz w:val="24"/>
          <w:szCs w:val="24"/>
        </w:rPr>
        <w:t>i</w:t>
      </w:r>
      <w:r w:rsidR="003A2F44" w:rsidRPr="00E145C7">
        <w:rPr>
          <w:rFonts w:ascii="Palatino Linotype" w:hAnsi="Palatino Linotype"/>
          <w:sz w:val="24"/>
          <w:szCs w:val="24"/>
        </w:rPr>
        <w:t>va, tendo vigência por tempo ilimitado.</w:t>
      </w:r>
      <w:r w:rsidR="003A2F44" w:rsidRPr="00E145C7">
        <w:rPr>
          <w:rStyle w:val="Refdenotaderodap"/>
          <w:rFonts w:ascii="Palatino Linotype" w:hAnsi="Palatino Linotype"/>
          <w:sz w:val="24"/>
          <w:szCs w:val="24"/>
        </w:rPr>
        <w:footnoteReference w:id="2"/>
      </w:r>
    </w:p>
    <w:p w:rsidR="002E13F9" w:rsidRPr="00E145C7" w:rsidRDefault="002E13F9" w:rsidP="00940D9E">
      <w:pPr>
        <w:spacing w:after="0" w:line="360" w:lineRule="auto"/>
        <w:ind w:firstLine="1134"/>
        <w:jc w:val="both"/>
        <w:rPr>
          <w:rFonts w:ascii="Palatino Linotype" w:hAnsi="Palatino Linotype"/>
          <w:sz w:val="24"/>
          <w:szCs w:val="24"/>
        </w:rPr>
      </w:pPr>
    </w:p>
    <w:p w:rsidR="008A068B" w:rsidRPr="00E145C7" w:rsidRDefault="001359F1" w:rsidP="00940D9E">
      <w:pPr>
        <w:spacing w:after="0" w:line="360" w:lineRule="auto"/>
        <w:ind w:firstLine="1134"/>
        <w:jc w:val="both"/>
        <w:rPr>
          <w:rFonts w:ascii="Palatino Linotype" w:hAnsi="Palatino Linotype"/>
          <w:sz w:val="24"/>
          <w:szCs w:val="24"/>
        </w:rPr>
      </w:pPr>
      <w:r w:rsidRPr="00E145C7">
        <w:rPr>
          <w:rFonts w:ascii="Palatino Linotype" w:hAnsi="Palatino Linotype"/>
          <w:b/>
          <w:sz w:val="24"/>
          <w:szCs w:val="24"/>
          <w:u w:val="single"/>
        </w:rPr>
        <w:t>Obrigatória</w:t>
      </w:r>
      <w:r w:rsidR="003A2F44" w:rsidRPr="00E145C7">
        <w:rPr>
          <w:rFonts w:ascii="Palatino Linotype" w:hAnsi="Palatino Linotype"/>
          <w:b/>
          <w:sz w:val="24"/>
          <w:szCs w:val="24"/>
          <w:u w:val="single"/>
        </w:rPr>
        <w:t xml:space="preserve">, </w:t>
      </w:r>
      <w:r w:rsidR="007A6EB8" w:rsidRPr="00E145C7">
        <w:rPr>
          <w:rFonts w:ascii="Palatino Linotype" w:hAnsi="Palatino Linotype"/>
          <w:b/>
          <w:sz w:val="24"/>
          <w:szCs w:val="24"/>
          <w:u w:val="single"/>
        </w:rPr>
        <w:t>logo</w:t>
      </w:r>
      <w:r w:rsidR="003A2F44" w:rsidRPr="00E145C7">
        <w:rPr>
          <w:rFonts w:ascii="Palatino Linotype" w:hAnsi="Palatino Linotype"/>
          <w:b/>
          <w:sz w:val="24"/>
          <w:szCs w:val="24"/>
          <w:u w:val="single"/>
        </w:rPr>
        <w:t>,</w:t>
      </w:r>
      <w:r w:rsidR="007A6EB8" w:rsidRPr="00E145C7">
        <w:rPr>
          <w:rFonts w:ascii="Palatino Linotype" w:hAnsi="Palatino Linotype"/>
          <w:b/>
          <w:sz w:val="24"/>
          <w:szCs w:val="24"/>
          <w:u w:val="single"/>
        </w:rPr>
        <w:t xml:space="preserve"> </w:t>
      </w:r>
      <w:r w:rsidR="00C23EB9" w:rsidRPr="00E145C7">
        <w:rPr>
          <w:rFonts w:ascii="Palatino Linotype" w:hAnsi="Palatino Linotype"/>
          <w:b/>
          <w:sz w:val="24"/>
          <w:szCs w:val="24"/>
          <w:u w:val="single"/>
        </w:rPr>
        <w:t xml:space="preserve">a juntada de estimativa </w:t>
      </w:r>
      <w:r w:rsidRPr="00E145C7">
        <w:rPr>
          <w:rFonts w:ascii="Palatino Linotype" w:hAnsi="Palatino Linotype"/>
          <w:b/>
          <w:sz w:val="24"/>
          <w:szCs w:val="24"/>
          <w:u w:val="single"/>
        </w:rPr>
        <w:t>d</w:t>
      </w:r>
      <w:r w:rsidR="00C23EB9" w:rsidRPr="00E145C7">
        <w:rPr>
          <w:rFonts w:ascii="Palatino Linotype" w:hAnsi="Palatino Linotype"/>
          <w:b/>
          <w:sz w:val="24"/>
          <w:szCs w:val="24"/>
          <w:u w:val="single"/>
        </w:rPr>
        <w:t>o impacto orçamentário-financeiro no exercício em que</w:t>
      </w:r>
      <w:r w:rsidR="003A2F44" w:rsidRPr="00E145C7">
        <w:rPr>
          <w:rFonts w:ascii="Palatino Linotype" w:hAnsi="Palatino Linotype"/>
          <w:b/>
          <w:sz w:val="24"/>
          <w:szCs w:val="24"/>
          <w:u w:val="single"/>
        </w:rPr>
        <w:t xml:space="preserve"> a política de benefícios</w:t>
      </w:r>
      <w:r w:rsidR="00C23EB9" w:rsidRPr="00E145C7">
        <w:rPr>
          <w:rFonts w:ascii="Palatino Linotype" w:hAnsi="Palatino Linotype"/>
          <w:b/>
          <w:sz w:val="24"/>
          <w:szCs w:val="24"/>
          <w:u w:val="single"/>
        </w:rPr>
        <w:t xml:space="preserve"> deva entrar em vigor e nos dois seguintes, </w:t>
      </w:r>
      <w:r w:rsidR="00855E49" w:rsidRPr="00E145C7">
        <w:rPr>
          <w:rFonts w:ascii="Palatino Linotype" w:hAnsi="Palatino Linotype"/>
          <w:b/>
          <w:sz w:val="24"/>
          <w:szCs w:val="24"/>
          <w:u w:val="single"/>
        </w:rPr>
        <w:t xml:space="preserve">com </w:t>
      </w:r>
      <w:r w:rsidR="003F04B9" w:rsidRPr="00E145C7">
        <w:rPr>
          <w:rFonts w:ascii="Palatino Linotype" w:hAnsi="Palatino Linotype"/>
          <w:b/>
          <w:sz w:val="24"/>
          <w:szCs w:val="24"/>
          <w:u w:val="single"/>
        </w:rPr>
        <w:t xml:space="preserve">a </w:t>
      </w:r>
      <w:r w:rsidR="00C23EB9" w:rsidRPr="00E145C7">
        <w:rPr>
          <w:rFonts w:ascii="Palatino Linotype" w:hAnsi="Palatino Linotype"/>
          <w:b/>
          <w:sz w:val="24"/>
          <w:szCs w:val="24"/>
          <w:u w:val="single"/>
        </w:rPr>
        <w:t>demonstração do atendimento ao disposto na L</w:t>
      </w:r>
      <w:r w:rsidR="00855E49" w:rsidRPr="00E145C7">
        <w:rPr>
          <w:rFonts w:ascii="Palatino Linotype" w:hAnsi="Palatino Linotype"/>
          <w:b/>
          <w:sz w:val="24"/>
          <w:szCs w:val="24"/>
          <w:u w:val="single"/>
        </w:rPr>
        <w:t>DO</w:t>
      </w:r>
      <w:r w:rsidR="00C23EB9" w:rsidRPr="00E145C7">
        <w:rPr>
          <w:rFonts w:ascii="Palatino Linotype" w:hAnsi="Palatino Linotype"/>
          <w:b/>
          <w:sz w:val="24"/>
          <w:szCs w:val="24"/>
          <w:u w:val="single"/>
        </w:rPr>
        <w:t xml:space="preserve"> e, ao m</w:t>
      </w:r>
      <w:r w:rsidR="00C23EB9" w:rsidRPr="00E145C7">
        <w:rPr>
          <w:rFonts w:ascii="Palatino Linotype" w:hAnsi="Palatino Linotype"/>
          <w:b/>
          <w:sz w:val="24"/>
          <w:szCs w:val="24"/>
          <w:u w:val="single"/>
        </w:rPr>
        <w:t>e</w:t>
      </w:r>
      <w:r w:rsidR="00C23EB9" w:rsidRPr="00E145C7">
        <w:rPr>
          <w:rFonts w:ascii="Palatino Linotype" w:hAnsi="Palatino Linotype"/>
          <w:b/>
          <w:sz w:val="24"/>
          <w:szCs w:val="24"/>
          <w:u w:val="single"/>
        </w:rPr>
        <w:t>nos,</w:t>
      </w:r>
      <w:r w:rsidR="00855E49" w:rsidRPr="00E145C7">
        <w:rPr>
          <w:rFonts w:ascii="Palatino Linotype" w:hAnsi="Palatino Linotype"/>
          <w:b/>
          <w:sz w:val="24"/>
          <w:szCs w:val="24"/>
          <w:u w:val="single"/>
        </w:rPr>
        <w:t xml:space="preserve"> de</w:t>
      </w:r>
      <w:r w:rsidR="00C23EB9" w:rsidRPr="00E145C7">
        <w:rPr>
          <w:rFonts w:ascii="Palatino Linotype" w:hAnsi="Palatino Linotype"/>
          <w:b/>
          <w:sz w:val="24"/>
          <w:szCs w:val="24"/>
          <w:u w:val="single"/>
        </w:rPr>
        <w:t xml:space="preserve"> uma das seguintes condições</w:t>
      </w:r>
      <w:r w:rsidR="00C23EB9" w:rsidRPr="00E145C7">
        <w:rPr>
          <w:rFonts w:ascii="Palatino Linotype" w:hAnsi="Palatino Linotype"/>
          <w:sz w:val="24"/>
          <w:szCs w:val="24"/>
        </w:rPr>
        <w:t xml:space="preserve">: </w:t>
      </w:r>
      <w:r w:rsidR="00C23EB9" w:rsidRPr="00E145C7">
        <w:rPr>
          <w:rFonts w:ascii="Palatino Linotype" w:hAnsi="Palatino Linotype"/>
          <w:b/>
          <w:sz w:val="24"/>
          <w:szCs w:val="24"/>
        </w:rPr>
        <w:t>1) comprovação de que essa renúncia</w:t>
      </w:r>
      <w:r w:rsidR="00855E49" w:rsidRPr="00E145C7">
        <w:rPr>
          <w:rFonts w:ascii="Palatino Linotype" w:hAnsi="Palatino Linotype"/>
          <w:b/>
          <w:sz w:val="24"/>
          <w:szCs w:val="24"/>
        </w:rPr>
        <w:t xml:space="preserve"> ampl</w:t>
      </w:r>
      <w:r w:rsidR="00855E49" w:rsidRPr="00E145C7">
        <w:rPr>
          <w:rFonts w:ascii="Palatino Linotype" w:hAnsi="Palatino Linotype"/>
          <w:b/>
          <w:sz w:val="24"/>
          <w:szCs w:val="24"/>
        </w:rPr>
        <w:t>i</w:t>
      </w:r>
      <w:r w:rsidR="00855E49" w:rsidRPr="00E145C7">
        <w:rPr>
          <w:rFonts w:ascii="Palatino Linotype" w:hAnsi="Palatino Linotype"/>
          <w:b/>
          <w:sz w:val="24"/>
          <w:szCs w:val="24"/>
        </w:rPr>
        <w:t>ada</w:t>
      </w:r>
      <w:r w:rsidR="00C23EB9" w:rsidRPr="00E145C7">
        <w:rPr>
          <w:rFonts w:ascii="Palatino Linotype" w:hAnsi="Palatino Linotype"/>
          <w:b/>
          <w:sz w:val="24"/>
          <w:szCs w:val="24"/>
        </w:rPr>
        <w:t xml:space="preserve"> foi considerada na Lei Orçament</w:t>
      </w:r>
      <w:r w:rsidR="00C23EB9" w:rsidRPr="00E145C7">
        <w:rPr>
          <w:rFonts w:ascii="Palatino Linotype" w:hAnsi="Palatino Linotype"/>
          <w:b/>
          <w:sz w:val="24"/>
          <w:szCs w:val="24"/>
        </w:rPr>
        <w:t>á</w:t>
      </w:r>
      <w:r w:rsidR="00C23EB9" w:rsidRPr="00E145C7">
        <w:rPr>
          <w:rFonts w:ascii="Palatino Linotype" w:hAnsi="Palatino Linotype"/>
          <w:b/>
          <w:sz w:val="24"/>
          <w:szCs w:val="24"/>
        </w:rPr>
        <w:t xml:space="preserve">ria Anual – LOA </w:t>
      </w:r>
      <w:r w:rsidR="0037113F" w:rsidRPr="00E145C7">
        <w:rPr>
          <w:rFonts w:ascii="Palatino Linotype" w:hAnsi="Palatino Linotype"/>
          <w:b/>
          <w:sz w:val="24"/>
          <w:szCs w:val="24"/>
        </w:rPr>
        <w:t xml:space="preserve">vigente </w:t>
      </w:r>
      <w:r w:rsidR="00C23EB9" w:rsidRPr="00E145C7">
        <w:rPr>
          <w:rFonts w:ascii="Palatino Linotype" w:hAnsi="Palatino Linotype"/>
          <w:b/>
          <w:sz w:val="24"/>
          <w:szCs w:val="24"/>
        </w:rPr>
        <w:t xml:space="preserve">e de que não afetará as metas de resultados fiscais; </w:t>
      </w:r>
      <w:r w:rsidR="00855E49" w:rsidRPr="00E145C7">
        <w:rPr>
          <w:rFonts w:ascii="Palatino Linotype" w:hAnsi="Palatino Linotype"/>
          <w:b/>
          <w:sz w:val="24"/>
          <w:szCs w:val="24"/>
        </w:rPr>
        <w:t xml:space="preserve">ou </w:t>
      </w:r>
      <w:r w:rsidR="00C23EB9" w:rsidRPr="00E145C7">
        <w:rPr>
          <w:rFonts w:ascii="Palatino Linotype" w:hAnsi="Palatino Linotype"/>
          <w:b/>
          <w:sz w:val="24"/>
          <w:szCs w:val="24"/>
        </w:rPr>
        <w:t>2) demon</w:t>
      </w:r>
      <w:r w:rsidR="00C23EB9" w:rsidRPr="00E145C7">
        <w:rPr>
          <w:rFonts w:ascii="Palatino Linotype" w:hAnsi="Palatino Linotype"/>
          <w:b/>
          <w:sz w:val="24"/>
          <w:szCs w:val="24"/>
        </w:rPr>
        <w:t>s</w:t>
      </w:r>
      <w:r w:rsidR="00C23EB9" w:rsidRPr="00E145C7">
        <w:rPr>
          <w:rFonts w:ascii="Palatino Linotype" w:hAnsi="Palatino Linotype"/>
          <w:b/>
          <w:sz w:val="24"/>
          <w:szCs w:val="24"/>
        </w:rPr>
        <w:t>tração de medidas de compensação, no exercício em que deva entrar em vigor e nos dois seguintes, por meio do aumento de receita, proveniente da elevação de alíquotas, ampliação da base de cálculo, m</w:t>
      </w:r>
      <w:r w:rsidR="00C23EB9" w:rsidRPr="00E145C7">
        <w:rPr>
          <w:rFonts w:ascii="Palatino Linotype" w:hAnsi="Palatino Linotype"/>
          <w:b/>
          <w:sz w:val="24"/>
          <w:szCs w:val="24"/>
        </w:rPr>
        <w:t>a</w:t>
      </w:r>
      <w:r w:rsidR="00C23EB9" w:rsidRPr="00E145C7">
        <w:rPr>
          <w:rFonts w:ascii="Palatino Linotype" w:hAnsi="Palatino Linotype"/>
          <w:b/>
          <w:sz w:val="24"/>
          <w:szCs w:val="24"/>
        </w:rPr>
        <w:t>joração ou criação de tributo ou contribuição.</w:t>
      </w:r>
      <w:r w:rsidR="007149A4" w:rsidRPr="00E145C7">
        <w:rPr>
          <w:rFonts w:ascii="Palatino Linotype" w:hAnsi="Palatino Linotype"/>
          <w:b/>
          <w:sz w:val="24"/>
          <w:szCs w:val="24"/>
        </w:rPr>
        <w:t xml:space="preserve"> </w:t>
      </w:r>
      <w:r w:rsidR="00C23EB9" w:rsidRPr="00E145C7">
        <w:rPr>
          <w:rFonts w:ascii="Palatino Linotype" w:hAnsi="Palatino Linotype"/>
          <w:sz w:val="24"/>
          <w:szCs w:val="24"/>
        </w:rPr>
        <w:t>Eis a redação do art. 14 d</w:t>
      </w:r>
      <w:r w:rsidR="008A068B" w:rsidRPr="00E145C7">
        <w:rPr>
          <w:rFonts w:ascii="Palatino Linotype" w:hAnsi="Palatino Linotype"/>
          <w:sz w:val="24"/>
          <w:szCs w:val="24"/>
        </w:rPr>
        <w:t>a L</w:t>
      </w:r>
      <w:r w:rsidR="003A2F44" w:rsidRPr="00E145C7">
        <w:rPr>
          <w:rFonts w:ascii="Palatino Linotype" w:hAnsi="Palatino Linotype"/>
          <w:sz w:val="24"/>
          <w:szCs w:val="24"/>
        </w:rPr>
        <w:t xml:space="preserve">RF </w:t>
      </w:r>
      <w:r w:rsidR="008A068B" w:rsidRPr="00E145C7">
        <w:rPr>
          <w:rFonts w:ascii="Palatino Linotype" w:hAnsi="Palatino Linotype"/>
          <w:sz w:val="24"/>
          <w:szCs w:val="24"/>
        </w:rPr>
        <w:t>sobre as exigências financeiras para a concessão de benefícios fiscais:</w:t>
      </w:r>
    </w:p>
    <w:p w:rsidR="008A068B" w:rsidRPr="00E145C7" w:rsidRDefault="008A068B" w:rsidP="00940D9E">
      <w:pPr>
        <w:spacing w:after="0" w:line="360" w:lineRule="auto"/>
        <w:ind w:firstLine="1134"/>
        <w:jc w:val="both"/>
        <w:rPr>
          <w:rFonts w:ascii="Palatino Linotype" w:hAnsi="Palatino Linotype"/>
          <w:sz w:val="24"/>
          <w:szCs w:val="24"/>
        </w:rPr>
      </w:pPr>
    </w:p>
    <w:p w:rsidR="008A068B" w:rsidRPr="00E145C7" w:rsidRDefault="008A068B" w:rsidP="008A068B">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 xml:space="preserve">Art. 14. </w:t>
      </w:r>
      <w:r w:rsidRPr="00E145C7">
        <w:rPr>
          <w:rFonts w:ascii="Palatino Linotype" w:hAnsi="Palatino Linotype"/>
          <w:b/>
          <w:sz w:val="20"/>
          <w:szCs w:val="20"/>
        </w:rPr>
        <w:t>A concessão ou ampliação</w:t>
      </w:r>
      <w:r w:rsidRPr="00E145C7">
        <w:rPr>
          <w:rFonts w:ascii="Palatino Linotype" w:hAnsi="Palatino Linotype"/>
          <w:sz w:val="20"/>
          <w:szCs w:val="20"/>
        </w:rPr>
        <w:t xml:space="preserve"> de incentivo ou benefício de natureza tr</w:t>
      </w:r>
      <w:r w:rsidRPr="00E145C7">
        <w:rPr>
          <w:rFonts w:ascii="Palatino Linotype" w:hAnsi="Palatino Linotype"/>
          <w:sz w:val="20"/>
          <w:szCs w:val="20"/>
        </w:rPr>
        <w:t>i</w:t>
      </w:r>
      <w:r w:rsidRPr="00E145C7">
        <w:rPr>
          <w:rFonts w:ascii="Palatino Linotype" w:hAnsi="Palatino Linotype"/>
          <w:sz w:val="20"/>
          <w:szCs w:val="20"/>
        </w:rPr>
        <w:t xml:space="preserve">butária da qual decorra renúncia de receita </w:t>
      </w:r>
      <w:r w:rsidRPr="00E145C7">
        <w:rPr>
          <w:rFonts w:ascii="Palatino Linotype" w:hAnsi="Palatino Linotype"/>
          <w:b/>
          <w:sz w:val="20"/>
          <w:szCs w:val="20"/>
        </w:rPr>
        <w:t>deverá estar acompanhada de estimativa do impacto orçamentário-financeiro no exercício em que deva iniciar sua vigência e nos dois seguintes, atender ao disposto na lei de d</w:t>
      </w:r>
      <w:r w:rsidRPr="00E145C7">
        <w:rPr>
          <w:rFonts w:ascii="Palatino Linotype" w:hAnsi="Palatino Linotype"/>
          <w:b/>
          <w:sz w:val="20"/>
          <w:szCs w:val="20"/>
        </w:rPr>
        <w:t>i</w:t>
      </w:r>
      <w:r w:rsidRPr="00E145C7">
        <w:rPr>
          <w:rFonts w:ascii="Palatino Linotype" w:hAnsi="Palatino Linotype"/>
          <w:b/>
          <w:sz w:val="20"/>
          <w:szCs w:val="20"/>
        </w:rPr>
        <w:t>retrizes orçamentárias e a pelo menos uma das seguintes condições</w:t>
      </w:r>
      <w:r w:rsidRPr="00E145C7">
        <w:rPr>
          <w:rFonts w:ascii="Palatino Linotype" w:hAnsi="Palatino Linotype"/>
          <w:sz w:val="20"/>
          <w:szCs w:val="20"/>
        </w:rPr>
        <w:t>:</w:t>
      </w:r>
    </w:p>
    <w:p w:rsidR="008A068B" w:rsidRPr="00E145C7" w:rsidRDefault="008A068B" w:rsidP="008A068B">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 xml:space="preserve">I - demonstração pelo proponente de que </w:t>
      </w:r>
      <w:r w:rsidRPr="00E145C7">
        <w:rPr>
          <w:rFonts w:ascii="Palatino Linotype" w:hAnsi="Palatino Linotype"/>
          <w:b/>
          <w:sz w:val="20"/>
          <w:szCs w:val="20"/>
        </w:rPr>
        <w:t>a renúncia foi considerada na e</w:t>
      </w:r>
      <w:r w:rsidRPr="00E145C7">
        <w:rPr>
          <w:rFonts w:ascii="Palatino Linotype" w:hAnsi="Palatino Linotype"/>
          <w:b/>
          <w:sz w:val="20"/>
          <w:szCs w:val="20"/>
        </w:rPr>
        <w:t>s</w:t>
      </w:r>
      <w:r w:rsidRPr="00E145C7">
        <w:rPr>
          <w:rFonts w:ascii="Palatino Linotype" w:hAnsi="Palatino Linotype"/>
          <w:b/>
          <w:sz w:val="20"/>
          <w:szCs w:val="20"/>
        </w:rPr>
        <w:t>timativa de receita da lei orçamentária</w:t>
      </w:r>
      <w:r w:rsidRPr="00E145C7">
        <w:rPr>
          <w:rFonts w:ascii="Palatino Linotype" w:hAnsi="Palatino Linotype"/>
          <w:sz w:val="20"/>
          <w:szCs w:val="20"/>
        </w:rPr>
        <w:t xml:space="preserve">, na forma do art. 12, e de que </w:t>
      </w:r>
      <w:r w:rsidRPr="00E145C7">
        <w:rPr>
          <w:rFonts w:ascii="Palatino Linotype" w:hAnsi="Palatino Linotype"/>
          <w:b/>
          <w:sz w:val="20"/>
          <w:szCs w:val="20"/>
        </w:rPr>
        <w:t xml:space="preserve">não </w:t>
      </w:r>
      <w:r w:rsidRPr="00E145C7">
        <w:rPr>
          <w:rFonts w:ascii="Palatino Linotype" w:hAnsi="Palatino Linotype"/>
          <w:b/>
          <w:sz w:val="20"/>
          <w:szCs w:val="20"/>
        </w:rPr>
        <w:t>a</w:t>
      </w:r>
      <w:r w:rsidRPr="00E145C7">
        <w:rPr>
          <w:rFonts w:ascii="Palatino Linotype" w:hAnsi="Palatino Linotype"/>
          <w:b/>
          <w:sz w:val="20"/>
          <w:szCs w:val="20"/>
        </w:rPr>
        <w:t>fetará as metas de resultados fiscais</w:t>
      </w:r>
      <w:r w:rsidRPr="00E145C7">
        <w:rPr>
          <w:rFonts w:ascii="Palatino Linotype" w:hAnsi="Palatino Linotype"/>
          <w:sz w:val="20"/>
          <w:szCs w:val="20"/>
        </w:rPr>
        <w:t xml:space="preserve"> previstas no anexo próprio da lei de d</w:t>
      </w:r>
      <w:r w:rsidRPr="00E145C7">
        <w:rPr>
          <w:rFonts w:ascii="Palatino Linotype" w:hAnsi="Palatino Linotype"/>
          <w:sz w:val="20"/>
          <w:szCs w:val="20"/>
        </w:rPr>
        <w:t>i</w:t>
      </w:r>
      <w:r w:rsidRPr="00E145C7">
        <w:rPr>
          <w:rFonts w:ascii="Palatino Linotype" w:hAnsi="Palatino Linotype"/>
          <w:sz w:val="20"/>
          <w:szCs w:val="20"/>
        </w:rPr>
        <w:t>retrizes orçamentárias;</w:t>
      </w:r>
    </w:p>
    <w:p w:rsidR="008A068B" w:rsidRPr="00E145C7" w:rsidRDefault="008A068B" w:rsidP="008A068B">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 xml:space="preserve">II - </w:t>
      </w:r>
      <w:r w:rsidRPr="00E145C7">
        <w:rPr>
          <w:rFonts w:ascii="Palatino Linotype" w:hAnsi="Palatino Linotype"/>
          <w:b/>
          <w:sz w:val="20"/>
          <w:szCs w:val="20"/>
        </w:rPr>
        <w:t>estar acompanhada de medidas de compensação</w:t>
      </w:r>
      <w:r w:rsidRPr="00E145C7">
        <w:rPr>
          <w:rFonts w:ascii="Palatino Linotype" w:hAnsi="Palatino Linotype"/>
          <w:sz w:val="20"/>
          <w:szCs w:val="20"/>
        </w:rPr>
        <w:t>, no período mencion</w:t>
      </w:r>
      <w:r w:rsidRPr="00E145C7">
        <w:rPr>
          <w:rFonts w:ascii="Palatino Linotype" w:hAnsi="Palatino Linotype"/>
          <w:sz w:val="20"/>
          <w:szCs w:val="20"/>
        </w:rPr>
        <w:t>a</w:t>
      </w:r>
      <w:r w:rsidRPr="00E145C7">
        <w:rPr>
          <w:rFonts w:ascii="Palatino Linotype" w:hAnsi="Palatino Linotype"/>
          <w:sz w:val="20"/>
          <w:szCs w:val="20"/>
        </w:rPr>
        <w:t xml:space="preserve">do no caput, </w:t>
      </w:r>
      <w:r w:rsidRPr="00E145C7">
        <w:rPr>
          <w:rFonts w:ascii="Palatino Linotype" w:hAnsi="Palatino Linotype"/>
          <w:b/>
          <w:sz w:val="20"/>
          <w:szCs w:val="20"/>
        </w:rPr>
        <w:t>por meio do aumento de receita, proveniente da elevação de alíquotas, ampliação da base de cálculo, majoração ou criação de tributo ou contribuição.</w:t>
      </w:r>
    </w:p>
    <w:p w:rsidR="008A068B" w:rsidRPr="00E145C7" w:rsidRDefault="008A068B" w:rsidP="008A068B">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 xml:space="preserve">§ 1º </w:t>
      </w:r>
      <w:r w:rsidRPr="00E145C7">
        <w:rPr>
          <w:rFonts w:ascii="Palatino Linotype" w:hAnsi="Palatino Linotype"/>
          <w:b/>
          <w:sz w:val="20"/>
          <w:szCs w:val="20"/>
        </w:rPr>
        <w:t>A renúncia compreende anistia, remissão, subsídio, crédito presum</w:t>
      </w:r>
      <w:r w:rsidRPr="00E145C7">
        <w:rPr>
          <w:rFonts w:ascii="Palatino Linotype" w:hAnsi="Palatino Linotype"/>
          <w:b/>
          <w:sz w:val="20"/>
          <w:szCs w:val="20"/>
        </w:rPr>
        <w:t>i</w:t>
      </w:r>
      <w:r w:rsidRPr="00E145C7">
        <w:rPr>
          <w:rFonts w:ascii="Palatino Linotype" w:hAnsi="Palatino Linotype"/>
          <w:b/>
          <w:sz w:val="20"/>
          <w:szCs w:val="20"/>
        </w:rPr>
        <w:t xml:space="preserve">do, concessão de isenção em caráter não geral, </w:t>
      </w:r>
      <w:r w:rsidRPr="00E145C7">
        <w:rPr>
          <w:rFonts w:ascii="Palatino Linotype" w:hAnsi="Palatino Linotype"/>
          <w:b/>
          <w:sz w:val="20"/>
          <w:szCs w:val="20"/>
          <w:u w:val="single"/>
        </w:rPr>
        <w:t>alteração de alíquota ou modificação de base de cálculo que implique redução discriminada de tr</w:t>
      </w:r>
      <w:r w:rsidRPr="00E145C7">
        <w:rPr>
          <w:rFonts w:ascii="Palatino Linotype" w:hAnsi="Palatino Linotype"/>
          <w:b/>
          <w:sz w:val="20"/>
          <w:szCs w:val="20"/>
          <w:u w:val="single"/>
        </w:rPr>
        <w:t>i</w:t>
      </w:r>
      <w:r w:rsidRPr="00E145C7">
        <w:rPr>
          <w:rFonts w:ascii="Palatino Linotype" w:hAnsi="Palatino Linotype"/>
          <w:b/>
          <w:sz w:val="20"/>
          <w:szCs w:val="20"/>
          <w:u w:val="single"/>
        </w:rPr>
        <w:t>butos ou contribuições</w:t>
      </w:r>
      <w:r w:rsidRPr="00E145C7">
        <w:rPr>
          <w:rFonts w:ascii="Palatino Linotype" w:hAnsi="Palatino Linotype"/>
          <w:b/>
          <w:sz w:val="20"/>
          <w:szCs w:val="20"/>
        </w:rPr>
        <w:t>, e outros benefícios que correspondam a tratame</w:t>
      </w:r>
      <w:r w:rsidRPr="00E145C7">
        <w:rPr>
          <w:rFonts w:ascii="Palatino Linotype" w:hAnsi="Palatino Linotype"/>
          <w:b/>
          <w:sz w:val="20"/>
          <w:szCs w:val="20"/>
        </w:rPr>
        <w:t>n</w:t>
      </w:r>
      <w:r w:rsidRPr="00E145C7">
        <w:rPr>
          <w:rFonts w:ascii="Palatino Linotype" w:hAnsi="Palatino Linotype"/>
          <w:b/>
          <w:sz w:val="20"/>
          <w:szCs w:val="20"/>
        </w:rPr>
        <w:t>to diferenciado.</w:t>
      </w:r>
    </w:p>
    <w:p w:rsidR="008A068B" w:rsidRPr="00E145C7" w:rsidRDefault="008A068B" w:rsidP="008A068B">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 2º Se o ato de concessão ou ampliação do incentivo ou benefício de que tr</w:t>
      </w:r>
      <w:r w:rsidRPr="00E145C7">
        <w:rPr>
          <w:rFonts w:ascii="Palatino Linotype" w:hAnsi="Palatino Linotype"/>
          <w:sz w:val="20"/>
          <w:szCs w:val="20"/>
        </w:rPr>
        <w:t>a</w:t>
      </w:r>
      <w:r w:rsidRPr="00E145C7">
        <w:rPr>
          <w:rFonts w:ascii="Palatino Linotype" w:hAnsi="Palatino Linotype"/>
          <w:sz w:val="20"/>
          <w:szCs w:val="20"/>
        </w:rPr>
        <w:t>ta o caput deste artigo decorrer da condição contida no inciso II, o benefício só entrará em vigor quando implementadas as medidas referidas no me</w:t>
      </w:r>
      <w:r w:rsidRPr="00E145C7">
        <w:rPr>
          <w:rFonts w:ascii="Palatino Linotype" w:hAnsi="Palatino Linotype"/>
          <w:sz w:val="20"/>
          <w:szCs w:val="20"/>
        </w:rPr>
        <w:t>n</w:t>
      </w:r>
      <w:r w:rsidRPr="00E145C7">
        <w:rPr>
          <w:rFonts w:ascii="Palatino Linotype" w:hAnsi="Palatino Linotype"/>
          <w:sz w:val="20"/>
          <w:szCs w:val="20"/>
        </w:rPr>
        <w:t>cionado inciso.</w:t>
      </w:r>
    </w:p>
    <w:p w:rsidR="008A068B" w:rsidRPr="00E145C7" w:rsidRDefault="008A068B" w:rsidP="008A068B">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 3º O disposto neste artigo não se aplica:</w:t>
      </w:r>
    </w:p>
    <w:p w:rsidR="008A068B" w:rsidRPr="00E145C7" w:rsidRDefault="008A068B" w:rsidP="008A068B">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I - às alterações das alíquotas dos impostos previstos nos incisos I, II, IV e V do art. 153 da Constituição, na forma do seu § 1º;</w:t>
      </w:r>
    </w:p>
    <w:p w:rsidR="008A068B" w:rsidRPr="00E145C7" w:rsidRDefault="008A068B" w:rsidP="008A068B">
      <w:pPr>
        <w:spacing w:after="0" w:line="240" w:lineRule="auto"/>
        <w:ind w:left="2268"/>
        <w:jc w:val="both"/>
        <w:rPr>
          <w:rFonts w:ascii="Palatino Linotype" w:hAnsi="Palatino Linotype"/>
          <w:sz w:val="20"/>
          <w:szCs w:val="20"/>
        </w:rPr>
      </w:pPr>
      <w:r w:rsidRPr="00E145C7">
        <w:rPr>
          <w:rFonts w:ascii="Palatino Linotype" w:hAnsi="Palatino Linotype"/>
          <w:sz w:val="20"/>
          <w:szCs w:val="20"/>
        </w:rPr>
        <w:t>II - ao cancelamento de débito cujo montante seja inferior ao dos respectivos cu</w:t>
      </w:r>
      <w:r w:rsidRPr="00E145C7">
        <w:rPr>
          <w:rFonts w:ascii="Palatino Linotype" w:hAnsi="Palatino Linotype"/>
          <w:sz w:val="20"/>
          <w:szCs w:val="20"/>
        </w:rPr>
        <w:t>s</w:t>
      </w:r>
      <w:r w:rsidRPr="00E145C7">
        <w:rPr>
          <w:rFonts w:ascii="Palatino Linotype" w:hAnsi="Palatino Linotype"/>
          <w:sz w:val="20"/>
          <w:szCs w:val="20"/>
        </w:rPr>
        <w:t>tos de cobrança.</w:t>
      </w:r>
    </w:p>
    <w:p w:rsidR="001A6A35" w:rsidRPr="00E145C7" w:rsidRDefault="001A6A35" w:rsidP="00940D9E">
      <w:pPr>
        <w:spacing w:after="0" w:line="360" w:lineRule="auto"/>
        <w:ind w:firstLine="1134"/>
        <w:jc w:val="both"/>
        <w:rPr>
          <w:rFonts w:ascii="Palatino Linotype" w:hAnsi="Palatino Linotype"/>
          <w:sz w:val="24"/>
          <w:szCs w:val="24"/>
        </w:rPr>
      </w:pPr>
    </w:p>
    <w:p w:rsidR="003A2F44" w:rsidRPr="00E145C7" w:rsidRDefault="001359F1" w:rsidP="00940D9E">
      <w:pPr>
        <w:spacing w:after="0" w:line="360" w:lineRule="auto"/>
        <w:ind w:firstLine="1134"/>
        <w:jc w:val="both"/>
        <w:rPr>
          <w:rFonts w:ascii="Palatino Linotype" w:hAnsi="Palatino Linotype"/>
          <w:sz w:val="24"/>
          <w:szCs w:val="24"/>
        </w:rPr>
      </w:pPr>
      <w:r w:rsidRPr="00E145C7">
        <w:rPr>
          <w:rFonts w:ascii="Palatino Linotype" w:hAnsi="Palatino Linotype"/>
          <w:sz w:val="24"/>
          <w:szCs w:val="24"/>
        </w:rPr>
        <w:t>A propósito do assunto</w:t>
      </w:r>
      <w:r w:rsidR="003A2F44" w:rsidRPr="00E145C7">
        <w:rPr>
          <w:rFonts w:ascii="Palatino Linotype" w:hAnsi="Palatino Linotype"/>
          <w:sz w:val="24"/>
          <w:szCs w:val="24"/>
        </w:rPr>
        <w:t xml:space="preserve">, </w:t>
      </w:r>
      <w:r w:rsidRPr="00E145C7">
        <w:rPr>
          <w:rFonts w:ascii="Palatino Linotype" w:hAnsi="Palatino Linotype"/>
          <w:sz w:val="24"/>
          <w:szCs w:val="24"/>
        </w:rPr>
        <w:t xml:space="preserve">leia-se </w:t>
      </w:r>
      <w:r w:rsidR="003A2F44" w:rsidRPr="00E145C7">
        <w:rPr>
          <w:rFonts w:ascii="Palatino Linotype" w:hAnsi="Palatino Linotype"/>
          <w:sz w:val="24"/>
          <w:szCs w:val="24"/>
        </w:rPr>
        <w:t>a Súmula Administrativa nº 1 da Procur</w:t>
      </w:r>
      <w:r w:rsidR="003A2F44" w:rsidRPr="00E145C7">
        <w:rPr>
          <w:rFonts w:ascii="Palatino Linotype" w:hAnsi="Palatino Linotype"/>
          <w:sz w:val="24"/>
          <w:szCs w:val="24"/>
        </w:rPr>
        <w:t>a</w:t>
      </w:r>
      <w:r w:rsidR="003A2F44" w:rsidRPr="00E145C7">
        <w:rPr>
          <w:rFonts w:ascii="Palatino Linotype" w:hAnsi="Palatino Linotype"/>
          <w:sz w:val="24"/>
          <w:szCs w:val="24"/>
        </w:rPr>
        <w:t>doria J</w:t>
      </w:r>
      <w:r w:rsidR="003A2F44" w:rsidRPr="00E145C7">
        <w:rPr>
          <w:rFonts w:ascii="Palatino Linotype" w:hAnsi="Palatino Linotype"/>
          <w:sz w:val="24"/>
          <w:szCs w:val="24"/>
        </w:rPr>
        <w:t>u</w:t>
      </w:r>
      <w:r w:rsidR="003A2F44" w:rsidRPr="00E145C7">
        <w:rPr>
          <w:rFonts w:ascii="Palatino Linotype" w:hAnsi="Palatino Linotype"/>
          <w:sz w:val="24"/>
          <w:szCs w:val="24"/>
        </w:rPr>
        <w:t>rídica da Câmara de Guaíba: “</w:t>
      </w:r>
      <w:r w:rsidR="003A2F44" w:rsidRPr="00E145C7">
        <w:rPr>
          <w:rFonts w:ascii="Palatino Linotype" w:hAnsi="Palatino Linotype"/>
          <w:i/>
          <w:iCs/>
          <w:sz w:val="24"/>
          <w:szCs w:val="24"/>
        </w:rPr>
        <w:t>Os projetos de lei que visem conceder ou ampliar benefícios de natureza tributária, tais como isenções, anistias e remissões sobre tributos mun</w:t>
      </w:r>
      <w:r w:rsidR="003A2F44" w:rsidRPr="00E145C7">
        <w:rPr>
          <w:rFonts w:ascii="Palatino Linotype" w:hAnsi="Palatino Linotype"/>
          <w:i/>
          <w:iCs/>
          <w:sz w:val="24"/>
          <w:szCs w:val="24"/>
        </w:rPr>
        <w:t>i</w:t>
      </w:r>
      <w:r w:rsidR="003A2F44" w:rsidRPr="00E145C7">
        <w:rPr>
          <w:rFonts w:ascii="Palatino Linotype" w:hAnsi="Palatino Linotype"/>
          <w:i/>
          <w:iCs/>
          <w:sz w:val="24"/>
          <w:szCs w:val="24"/>
        </w:rPr>
        <w:t>cipais, além dos demais constantes no § 1º do art. 14 da Lei de Responsabilidade Fiscal, são da competência legislativa municipal e de iniciativa concorrente, demandando, contudo, a in</w:t>
      </w:r>
      <w:r w:rsidR="003A2F44" w:rsidRPr="00E145C7">
        <w:rPr>
          <w:rFonts w:ascii="Palatino Linotype" w:hAnsi="Palatino Linotype"/>
          <w:i/>
          <w:iCs/>
          <w:sz w:val="24"/>
          <w:szCs w:val="24"/>
        </w:rPr>
        <w:t>s</w:t>
      </w:r>
      <w:r w:rsidR="003A2F44" w:rsidRPr="00E145C7">
        <w:rPr>
          <w:rFonts w:ascii="Palatino Linotype" w:hAnsi="Palatino Linotype"/>
          <w:i/>
          <w:iCs/>
          <w:sz w:val="24"/>
          <w:szCs w:val="24"/>
        </w:rPr>
        <w:t>trução com estimativa do impacto orçamentário-financeiro para o exercício em que deva entrar em vigor e nos dois seguintes, que comprove a compatibilidade com a Lei de Diretrizes Orç</w:t>
      </w:r>
      <w:r w:rsidR="003A2F44" w:rsidRPr="00E145C7">
        <w:rPr>
          <w:rFonts w:ascii="Palatino Linotype" w:hAnsi="Palatino Linotype"/>
          <w:i/>
          <w:iCs/>
          <w:sz w:val="24"/>
          <w:szCs w:val="24"/>
        </w:rPr>
        <w:t>a</w:t>
      </w:r>
      <w:r w:rsidR="003A2F44" w:rsidRPr="00E145C7">
        <w:rPr>
          <w:rFonts w:ascii="Palatino Linotype" w:hAnsi="Palatino Linotype"/>
          <w:i/>
          <w:iCs/>
          <w:sz w:val="24"/>
          <w:szCs w:val="24"/>
        </w:rPr>
        <w:t>mentárias e, ao menos, uma das seguintes condições: a) prévia consideração da renúncia na r</w:t>
      </w:r>
      <w:r w:rsidR="003A2F44" w:rsidRPr="00E145C7">
        <w:rPr>
          <w:rFonts w:ascii="Palatino Linotype" w:hAnsi="Palatino Linotype"/>
          <w:i/>
          <w:iCs/>
          <w:sz w:val="24"/>
          <w:szCs w:val="24"/>
        </w:rPr>
        <w:t>e</w:t>
      </w:r>
      <w:r w:rsidR="003A2F44" w:rsidRPr="00E145C7">
        <w:rPr>
          <w:rFonts w:ascii="Palatino Linotype" w:hAnsi="Palatino Linotype"/>
          <w:i/>
          <w:iCs/>
          <w:sz w:val="24"/>
          <w:szCs w:val="24"/>
        </w:rPr>
        <w:t>ceita da lei orçamentária vigente e não comprometimento das metas de resultados fiscais; b) existência de medidas de compensação pelo aumento de receita, proveniente da elevação de alíquotas, ampliação da base de cálculo, majoração ou criação de tributo ou contribuição</w:t>
      </w:r>
      <w:r w:rsidR="00525699" w:rsidRPr="00E145C7">
        <w:rPr>
          <w:rFonts w:ascii="Palatino Linotype" w:hAnsi="Palatino Linotype"/>
          <w:i/>
          <w:iCs/>
          <w:sz w:val="24"/>
          <w:szCs w:val="24"/>
        </w:rPr>
        <w:t>.</w:t>
      </w:r>
      <w:r w:rsidR="00525699" w:rsidRPr="00E145C7">
        <w:rPr>
          <w:rFonts w:ascii="Palatino Linotype" w:hAnsi="Palatino Linotype"/>
          <w:sz w:val="24"/>
          <w:szCs w:val="24"/>
        </w:rPr>
        <w:t>” (</w:t>
      </w:r>
      <w:r w:rsidR="003A2F44" w:rsidRPr="00E145C7">
        <w:rPr>
          <w:rFonts w:ascii="Palatino Linotype" w:hAnsi="Palatino Linotype"/>
          <w:sz w:val="24"/>
          <w:szCs w:val="24"/>
        </w:rPr>
        <w:t>Enunciado aprovado em 3/12/2019, no Expediente de Súmula Administrativa nº 001/2019</w:t>
      </w:r>
      <w:r w:rsidR="00525699" w:rsidRPr="00E145C7">
        <w:rPr>
          <w:rFonts w:ascii="Palatino Linotype" w:hAnsi="Palatino Linotype"/>
          <w:sz w:val="24"/>
          <w:szCs w:val="24"/>
        </w:rPr>
        <w:t>)</w:t>
      </w:r>
      <w:r w:rsidR="003A2F44" w:rsidRPr="00E145C7">
        <w:rPr>
          <w:rFonts w:ascii="Palatino Linotype" w:hAnsi="Palatino Linotype"/>
          <w:sz w:val="24"/>
          <w:szCs w:val="24"/>
        </w:rPr>
        <w:t>.</w:t>
      </w:r>
    </w:p>
    <w:p w:rsidR="003A2F44" w:rsidRPr="00E145C7" w:rsidRDefault="003A2F44" w:rsidP="00940D9E">
      <w:pPr>
        <w:spacing w:after="0" w:line="360" w:lineRule="auto"/>
        <w:ind w:firstLine="1134"/>
        <w:jc w:val="both"/>
        <w:rPr>
          <w:rFonts w:ascii="Palatino Linotype" w:hAnsi="Palatino Linotype"/>
          <w:sz w:val="24"/>
          <w:szCs w:val="24"/>
        </w:rPr>
      </w:pPr>
    </w:p>
    <w:p w:rsidR="00F85172" w:rsidRPr="00E145C7" w:rsidRDefault="00B81E40" w:rsidP="00B81E40">
      <w:pPr>
        <w:spacing w:after="0" w:line="360" w:lineRule="auto"/>
        <w:ind w:firstLine="1134"/>
        <w:jc w:val="both"/>
        <w:rPr>
          <w:rFonts w:ascii="Palatino Linotype" w:hAnsi="Palatino Linotype"/>
          <w:sz w:val="24"/>
          <w:szCs w:val="24"/>
        </w:rPr>
      </w:pPr>
      <w:r w:rsidRPr="00E145C7">
        <w:rPr>
          <w:rFonts w:ascii="Palatino Linotype" w:hAnsi="Palatino Linotype"/>
          <w:b/>
          <w:sz w:val="24"/>
          <w:szCs w:val="24"/>
        </w:rPr>
        <w:t xml:space="preserve">3. </w:t>
      </w:r>
      <w:r w:rsidR="00F85172" w:rsidRPr="00E145C7">
        <w:rPr>
          <w:rFonts w:ascii="Palatino Linotype" w:hAnsi="Palatino Linotype"/>
          <w:b/>
          <w:sz w:val="24"/>
          <w:szCs w:val="24"/>
        </w:rPr>
        <w:t>CONCLUSÃO</w:t>
      </w:r>
    </w:p>
    <w:p w:rsidR="00F85172" w:rsidRPr="00E145C7" w:rsidRDefault="00F85172" w:rsidP="00F85172">
      <w:pPr>
        <w:spacing w:after="0" w:line="360" w:lineRule="auto"/>
        <w:jc w:val="both"/>
        <w:rPr>
          <w:rFonts w:ascii="Palatino Linotype" w:hAnsi="Palatino Linotype"/>
          <w:b/>
          <w:sz w:val="24"/>
          <w:szCs w:val="24"/>
        </w:rPr>
      </w:pPr>
    </w:p>
    <w:p w:rsidR="004270EB" w:rsidRPr="00E145C7" w:rsidRDefault="004270EB" w:rsidP="004270EB">
      <w:pPr>
        <w:spacing w:after="0" w:line="360" w:lineRule="auto"/>
        <w:ind w:firstLine="1134"/>
        <w:jc w:val="both"/>
        <w:rPr>
          <w:rFonts w:ascii="Palatino Linotype" w:hAnsi="Palatino Linotype"/>
          <w:iCs/>
          <w:sz w:val="24"/>
          <w:szCs w:val="24"/>
        </w:rPr>
      </w:pPr>
      <w:r w:rsidRPr="00E145C7">
        <w:rPr>
          <w:rFonts w:ascii="Palatino Linotype" w:hAnsi="Palatino Linotype"/>
          <w:sz w:val="24"/>
          <w:szCs w:val="24"/>
        </w:rPr>
        <w:t xml:space="preserve">Diante do exposto, respeitada a natureza </w:t>
      </w:r>
      <w:r w:rsidRPr="00E145C7">
        <w:rPr>
          <w:rFonts w:ascii="Palatino Linotype" w:hAnsi="Palatino Linotype"/>
          <w:b/>
          <w:sz w:val="24"/>
          <w:szCs w:val="24"/>
        </w:rPr>
        <w:t>opinativa</w:t>
      </w:r>
      <w:r w:rsidRPr="00E145C7">
        <w:rPr>
          <w:rFonts w:ascii="Palatino Linotype" w:hAnsi="Palatino Linotype"/>
          <w:sz w:val="24"/>
          <w:szCs w:val="24"/>
        </w:rPr>
        <w:t xml:space="preserve"> do parecer jurídico, que não vincula a manifestação das comissões permanentes e a convicção dos me</w:t>
      </w:r>
      <w:r w:rsidRPr="00E145C7">
        <w:rPr>
          <w:rFonts w:ascii="Palatino Linotype" w:hAnsi="Palatino Linotype"/>
          <w:sz w:val="24"/>
          <w:szCs w:val="24"/>
        </w:rPr>
        <w:t>m</w:t>
      </w:r>
      <w:r w:rsidRPr="00E145C7">
        <w:rPr>
          <w:rFonts w:ascii="Palatino Linotype" w:hAnsi="Palatino Linotype"/>
          <w:sz w:val="24"/>
          <w:szCs w:val="24"/>
        </w:rPr>
        <w:t>bros desta Câmara, e assegurada a soberania do Plenário, a Procuradoria</w:t>
      </w:r>
      <w:r w:rsidR="001359F1" w:rsidRPr="00E145C7">
        <w:rPr>
          <w:rFonts w:ascii="Palatino Linotype" w:hAnsi="Palatino Linotype"/>
          <w:sz w:val="24"/>
          <w:szCs w:val="24"/>
        </w:rPr>
        <w:t>, em concl</w:t>
      </w:r>
      <w:r w:rsidR="001359F1" w:rsidRPr="00E145C7">
        <w:rPr>
          <w:rFonts w:ascii="Palatino Linotype" w:hAnsi="Palatino Linotype"/>
          <w:sz w:val="24"/>
          <w:szCs w:val="24"/>
        </w:rPr>
        <w:t>u</w:t>
      </w:r>
      <w:r w:rsidR="001359F1" w:rsidRPr="00E145C7">
        <w:rPr>
          <w:rFonts w:ascii="Palatino Linotype" w:hAnsi="Palatino Linotype"/>
          <w:sz w:val="24"/>
          <w:szCs w:val="24"/>
        </w:rPr>
        <w:t>são, entende que a viabilidade jurídica do Projeto de Lei</w:t>
      </w:r>
      <w:r w:rsidR="00E145C7">
        <w:rPr>
          <w:rFonts w:ascii="Palatino Linotype" w:hAnsi="Palatino Linotype"/>
          <w:sz w:val="24"/>
          <w:szCs w:val="24"/>
        </w:rPr>
        <w:t xml:space="preserve"> do Legislativo</w:t>
      </w:r>
      <w:r w:rsidR="001359F1" w:rsidRPr="00E145C7">
        <w:rPr>
          <w:rFonts w:ascii="Palatino Linotype" w:hAnsi="Palatino Linotype"/>
          <w:sz w:val="24"/>
          <w:szCs w:val="24"/>
        </w:rPr>
        <w:t xml:space="preserve"> nº 0</w:t>
      </w:r>
      <w:r w:rsidR="00E145C7">
        <w:rPr>
          <w:rFonts w:ascii="Palatino Linotype" w:hAnsi="Palatino Linotype"/>
          <w:sz w:val="24"/>
          <w:szCs w:val="24"/>
        </w:rPr>
        <w:t>33</w:t>
      </w:r>
      <w:r w:rsidR="001359F1" w:rsidRPr="00E145C7">
        <w:rPr>
          <w:rFonts w:ascii="Palatino Linotype" w:hAnsi="Palatino Linotype"/>
          <w:sz w:val="24"/>
          <w:szCs w:val="24"/>
        </w:rPr>
        <w:t>/202</w:t>
      </w:r>
      <w:r w:rsidR="00E145C7">
        <w:rPr>
          <w:rFonts w:ascii="Palatino Linotype" w:hAnsi="Palatino Linotype"/>
          <w:sz w:val="24"/>
          <w:szCs w:val="24"/>
        </w:rPr>
        <w:t>5</w:t>
      </w:r>
      <w:r w:rsidR="001359F1" w:rsidRPr="00E145C7">
        <w:rPr>
          <w:rFonts w:ascii="Palatino Linotype" w:hAnsi="Palatino Linotype"/>
          <w:sz w:val="24"/>
          <w:szCs w:val="24"/>
        </w:rPr>
        <w:t xml:space="preserve"> está condicionada: a) à retirada do art. 9º; b) à </w:t>
      </w:r>
      <w:r w:rsidR="001359F1" w:rsidRPr="00E145C7">
        <w:rPr>
          <w:rFonts w:ascii="Palatino Linotype" w:hAnsi="Palatino Linotype"/>
          <w:iCs/>
          <w:sz w:val="24"/>
          <w:szCs w:val="24"/>
        </w:rPr>
        <w:t>instrução com estimativa do impacto orçamentário-financeiro para o exercício em que deva entrar em vigor e nos dois s</w:t>
      </w:r>
      <w:r w:rsidR="001359F1" w:rsidRPr="00E145C7">
        <w:rPr>
          <w:rFonts w:ascii="Palatino Linotype" w:hAnsi="Palatino Linotype"/>
          <w:iCs/>
          <w:sz w:val="24"/>
          <w:szCs w:val="24"/>
        </w:rPr>
        <w:t>e</w:t>
      </w:r>
      <w:r w:rsidR="001359F1" w:rsidRPr="00E145C7">
        <w:rPr>
          <w:rFonts w:ascii="Palatino Linotype" w:hAnsi="Palatino Linotype"/>
          <w:iCs/>
          <w:sz w:val="24"/>
          <w:szCs w:val="24"/>
        </w:rPr>
        <w:t>gui</w:t>
      </w:r>
      <w:r w:rsidR="001359F1" w:rsidRPr="00E145C7">
        <w:rPr>
          <w:rFonts w:ascii="Palatino Linotype" w:hAnsi="Palatino Linotype"/>
          <w:iCs/>
          <w:sz w:val="24"/>
          <w:szCs w:val="24"/>
        </w:rPr>
        <w:t>n</w:t>
      </w:r>
      <w:r w:rsidR="001359F1" w:rsidRPr="00E145C7">
        <w:rPr>
          <w:rFonts w:ascii="Palatino Linotype" w:hAnsi="Palatino Linotype"/>
          <w:iCs/>
          <w:sz w:val="24"/>
          <w:szCs w:val="24"/>
        </w:rPr>
        <w:t>tes, que comprove a compatibilidade com a LDO e, ao menos, uma das seguintes condições: b.1) prévia consideração da renúncia na receita da lei orçamentária vige</w:t>
      </w:r>
      <w:r w:rsidR="001359F1" w:rsidRPr="00E145C7">
        <w:rPr>
          <w:rFonts w:ascii="Palatino Linotype" w:hAnsi="Palatino Linotype"/>
          <w:iCs/>
          <w:sz w:val="24"/>
          <w:szCs w:val="24"/>
        </w:rPr>
        <w:t>n</w:t>
      </w:r>
      <w:r w:rsidR="001359F1" w:rsidRPr="00E145C7">
        <w:rPr>
          <w:rFonts w:ascii="Palatino Linotype" w:hAnsi="Palatino Linotype"/>
          <w:iCs/>
          <w:sz w:val="24"/>
          <w:szCs w:val="24"/>
        </w:rPr>
        <w:t xml:space="preserve">te e não comprometimento das metas de resultados fiscais; b.2) existência de medidas </w:t>
      </w:r>
      <w:r w:rsidR="001359F1" w:rsidRPr="00E145C7">
        <w:rPr>
          <w:rFonts w:ascii="Palatino Linotype" w:hAnsi="Palatino Linotype"/>
          <w:iCs/>
          <w:sz w:val="24"/>
          <w:szCs w:val="24"/>
        </w:rPr>
        <w:lastRenderedPageBreak/>
        <w:t>de compensação pelo aumento de receita, proveniente da elevação de alíquotas, a</w:t>
      </w:r>
      <w:r w:rsidR="001359F1" w:rsidRPr="00E145C7">
        <w:rPr>
          <w:rFonts w:ascii="Palatino Linotype" w:hAnsi="Palatino Linotype"/>
          <w:iCs/>
          <w:sz w:val="24"/>
          <w:szCs w:val="24"/>
        </w:rPr>
        <w:t>m</w:t>
      </w:r>
      <w:r w:rsidR="001359F1" w:rsidRPr="00E145C7">
        <w:rPr>
          <w:rFonts w:ascii="Palatino Linotype" w:hAnsi="Palatino Linotype"/>
          <w:iCs/>
          <w:sz w:val="24"/>
          <w:szCs w:val="24"/>
        </w:rPr>
        <w:t>pli</w:t>
      </w:r>
      <w:r w:rsidR="001359F1" w:rsidRPr="00E145C7">
        <w:rPr>
          <w:rFonts w:ascii="Palatino Linotype" w:hAnsi="Palatino Linotype"/>
          <w:iCs/>
          <w:sz w:val="24"/>
          <w:szCs w:val="24"/>
        </w:rPr>
        <w:t>a</w:t>
      </w:r>
      <w:r w:rsidR="001359F1" w:rsidRPr="00E145C7">
        <w:rPr>
          <w:rFonts w:ascii="Palatino Linotype" w:hAnsi="Palatino Linotype"/>
          <w:iCs/>
          <w:sz w:val="24"/>
          <w:szCs w:val="24"/>
        </w:rPr>
        <w:t>ção da base de cálculo, majoração ou criação de tributo ou contribuição</w:t>
      </w:r>
      <w:r w:rsidR="00BD2F4D" w:rsidRPr="00E145C7">
        <w:rPr>
          <w:rFonts w:ascii="Palatino Linotype" w:hAnsi="Palatino Linotype"/>
          <w:iCs/>
          <w:sz w:val="24"/>
          <w:szCs w:val="24"/>
        </w:rPr>
        <w:t>.</w:t>
      </w:r>
    </w:p>
    <w:p w:rsidR="00BD2F4D" w:rsidRPr="00E145C7" w:rsidRDefault="00BD2F4D" w:rsidP="004270EB">
      <w:pPr>
        <w:spacing w:after="0" w:line="360" w:lineRule="auto"/>
        <w:ind w:firstLine="1134"/>
        <w:jc w:val="both"/>
        <w:rPr>
          <w:rFonts w:ascii="Palatino Linotype" w:hAnsi="Palatino Linotype"/>
          <w:iCs/>
          <w:sz w:val="24"/>
          <w:szCs w:val="24"/>
        </w:rPr>
      </w:pPr>
    </w:p>
    <w:p w:rsidR="00AD1FC2" w:rsidRPr="00E145C7" w:rsidRDefault="00E145C7" w:rsidP="00AD1FC2">
      <w:pPr>
        <w:spacing w:after="0" w:line="360" w:lineRule="auto"/>
        <w:ind w:firstLine="1134"/>
        <w:jc w:val="both"/>
        <w:rPr>
          <w:rFonts w:ascii="Palatino Linotype" w:hAnsi="Palatino Linotype"/>
          <w:sz w:val="24"/>
          <w:szCs w:val="24"/>
        </w:rPr>
      </w:pPr>
      <w:r>
        <w:rPr>
          <w:rFonts w:ascii="Palatino Linotype" w:hAnsi="Palatino Linotype"/>
          <w:sz w:val="24"/>
          <w:szCs w:val="24"/>
        </w:rPr>
        <w:t>É o parecer</w:t>
      </w:r>
      <w:r w:rsidR="00442275" w:rsidRPr="00E145C7">
        <w:rPr>
          <w:rFonts w:ascii="Palatino Linotype" w:hAnsi="Palatino Linotype"/>
          <w:sz w:val="24"/>
          <w:szCs w:val="24"/>
        </w:rPr>
        <w:t>.</w:t>
      </w:r>
    </w:p>
    <w:p w:rsidR="00AD1FC2" w:rsidRPr="00E145C7" w:rsidRDefault="00AD1FC2" w:rsidP="00AD1FC2">
      <w:pPr>
        <w:spacing w:after="0" w:line="360" w:lineRule="auto"/>
        <w:ind w:firstLine="1134"/>
        <w:jc w:val="both"/>
        <w:rPr>
          <w:rFonts w:ascii="Palatino Linotype" w:hAnsi="Palatino Linotype"/>
          <w:sz w:val="24"/>
          <w:szCs w:val="24"/>
        </w:rPr>
      </w:pPr>
    </w:p>
    <w:p w:rsidR="00AD1FC2" w:rsidRPr="00E145C7" w:rsidRDefault="00442275" w:rsidP="00AD1FC2">
      <w:pPr>
        <w:spacing w:after="0" w:line="360" w:lineRule="auto"/>
        <w:jc w:val="center"/>
        <w:rPr>
          <w:rFonts w:ascii="Palatino Linotype" w:hAnsi="Palatino Linotype"/>
          <w:sz w:val="24"/>
          <w:szCs w:val="24"/>
        </w:rPr>
      </w:pPr>
      <w:r w:rsidRPr="00E145C7">
        <w:rPr>
          <w:rFonts w:ascii="Palatino Linotype" w:hAnsi="Palatino Linotype"/>
          <w:sz w:val="24"/>
          <w:szCs w:val="24"/>
        </w:rPr>
        <w:t>Guaíba</w:t>
      </w:r>
      <w:r w:rsidR="00BD2F4D" w:rsidRPr="00E145C7">
        <w:rPr>
          <w:rFonts w:ascii="Palatino Linotype" w:hAnsi="Palatino Linotype"/>
          <w:sz w:val="24"/>
          <w:szCs w:val="24"/>
        </w:rPr>
        <w:t xml:space="preserve">, </w:t>
      </w:r>
      <w:r w:rsidR="00E145C7">
        <w:rPr>
          <w:rFonts w:ascii="Palatino Linotype" w:hAnsi="Palatino Linotype"/>
          <w:sz w:val="24"/>
          <w:szCs w:val="24"/>
        </w:rPr>
        <w:t>10</w:t>
      </w:r>
      <w:r w:rsidR="00BD2F4D" w:rsidRPr="00E145C7">
        <w:rPr>
          <w:rFonts w:ascii="Palatino Linotype" w:hAnsi="Palatino Linotype"/>
          <w:sz w:val="24"/>
          <w:szCs w:val="24"/>
        </w:rPr>
        <w:t xml:space="preserve"> de ma</w:t>
      </w:r>
      <w:r w:rsidR="00E145C7">
        <w:rPr>
          <w:rFonts w:ascii="Palatino Linotype" w:hAnsi="Palatino Linotype"/>
          <w:sz w:val="24"/>
          <w:szCs w:val="24"/>
        </w:rPr>
        <w:t>rç</w:t>
      </w:r>
      <w:r w:rsidR="00BD2F4D" w:rsidRPr="00E145C7">
        <w:rPr>
          <w:rFonts w:ascii="Palatino Linotype" w:hAnsi="Palatino Linotype"/>
          <w:sz w:val="24"/>
          <w:szCs w:val="24"/>
        </w:rPr>
        <w:t>o de 202</w:t>
      </w:r>
      <w:r w:rsidR="00E145C7">
        <w:rPr>
          <w:rFonts w:ascii="Palatino Linotype" w:hAnsi="Palatino Linotype"/>
          <w:sz w:val="24"/>
          <w:szCs w:val="24"/>
        </w:rPr>
        <w:t>5</w:t>
      </w:r>
      <w:r w:rsidR="00BD2F4D" w:rsidRPr="00E145C7">
        <w:rPr>
          <w:rFonts w:ascii="Palatino Linotype" w:hAnsi="Palatino Linotype"/>
          <w:sz w:val="24"/>
          <w:szCs w:val="24"/>
        </w:rPr>
        <w:t>.</w:t>
      </w:r>
    </w:p>
    <w:p w:rsidR="00AD1FC2" w:rsidRPr="00E145C7" w:rsidRDefault="00AD1FC2" w:rsidP="00AD1FC2">
      <w:pPr>
        <w:spacing w:after="0" w:line="360" w:lineRule="auto"/>
        <w:jc w:val="center"/>
        <w:rPr>
          <w:rFonts w:ascii="Palatino Linotype" w:hAnsi="Palatino Linotype"/>
          <w:sz w:val="24"/>
          <w:szCs w:val="24"/>
        </w:rPr>
      </w:pPr>
    </w:p>
    <w:p w:rsidR="00AD1FC2" w:rsidRPr="00E145C7" w:rsidRDefault="00E145C7" w:rsidP="00AD1FC2">
      <w:pPr>
        <w:spacing w:after="0" w:line="360" w:lineRule="auto"/>
        <w:jc w:val="center"/>
        <w:rPr>
          <w:rFonts w:ascii="Palatino Linotype" w:hAnsi="Palatino Linotype"/>
          <w:b/>
          <w:sz w:val="24"/>
          <w:szCs w:val="24"/>
        </w:rPr>
      </w:pPr>
      <w:r>
        <w:rPr>
          <w:rFonts w:ascii="Palatino Linotype" w:hAnsi="Palatino Linotype"/>
          <w:b/>
          <w:sz w:val="24"/>
          <w:szCs w:val="24"/>
        </w:rPr>
        <w:t>FERNANDO HENRIQUE ESCOBAR BINS</w:t>
      </w:r>
    </w:p>
    <w:p w:rsidR="00AD1FC2" w:rsidRPr="00E145C7" w:rsidRDefault="00AD1FC2" w:rsidP="00AD1FC2">
      <w:pPr>
        <w:spacing w:after="0" w:line="360" w:lineRule="auto"/>
        <w:jc w:val="center"/>
        <w:rPr>
          <w:rFonts w:ascii="Palatino Linotype" w:hAnsi="Palatino Linotype"/>
          <w:sz w:val="24"/>
          <w:szCs w:val="24"/>
        </w:rPr>
      </w:pPr>
      <w:r w:rsidRPr="00E145C7">
        <w:rPr>
          <w:rFonts w:ascii="Palatino Linotype" w:hAnsi="Palatino Linotype"/>
          <w:sz w:val="24"/>
          <w:szCs w:val="24"/>
        </w:rPr>
        <w:t>Procurador</w:t>
      </w:r>
      <w:r w:rsidR="00E145C7">
        <w:rPr>
          <w:rFonts w:ascii="Palatino Linotype" w:hAnsi="Palatino Linotype"/>
          <w:sz w:val="24"/>
          <w:szCs w:val="24"/>
        </w:rPr>
        <w:t>-Geral</w:t>
      </w:r>
    </w:p>
    <w:p w:rsidR="00756E13" w:rsidRPr="00E145C7" w:rsidRDefault="00AD1FC2" w:rsidP="00AD1FC2">
      <w:pPr>
        <w:spacing w:after="0" w:line="360" w:lineRule="auto"/>
        <w:jc w:val="center"/>
        <w:rPr>
          <w:rFonts w:ascii="Palatino Linotype" w:hAnsi="Palatino Linotype"/>
          <w:sz w:val="24"/>
          <w:szCs w:val="24"/>
        </w:rPr>
      </w:pPr>
      <w:r w:rsidRPr="00E145C7">
        <w:rPr>
          <w:rFonts w:ascii="Palatino Linotype" w:hAnsi="Palatino Linotype"/>
          <w:sz w:val="24"/>
          <w:szCs w:val="24"/>
        </w:rPr>
        <w:t>OAB/RS nº 10</w:t>
      </w:r>
      <w:r w:rsidR="00E145C7">
        <w:rPr>
          <w:rFonts w:ascii="Palatino Linotype" w:hAnsi="Palatino Linotype"/>
          <w:sz w:val="24"/>
          <w:szCs w:val="24"/>
        </w:rPr>
        <w:t>7</w:t>
      </w:r>
      <w:r w:rsidRPr="00E145C7">
        <w:rPr>
          <w:rFonts w:ascii="Palatino Linotype" w:hAnsi="Palatino Linotype"/>
          <w:sz w:val="24"/>
          <w:szCs w:val="24"/>
        </w:rPr>
        <w:t>.1</w:t>
      </w:r>
      <w:r w:rsidR="00E145C7">
        <w:rPr>
          <w:rFonts w:ascii="Palatino Linotype" w:hAnsi="Palatino Linotype"/>
          <w:sz w:val="24"/>
          <w:szCs w:val="24"/>
        </w:rPr>
        <w:t>36</w:t>
      </w:r>
    </w:p>
    <w:sectPr w:rsidR="00756E13" w:rsidRPr="00E145C7" w:rsidSect="00FC2476">
      <w:headerReference w:type="default" r:id="rId8"/>
      <w:footerReference w:type="default" r:id="rId9"/>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41CE" w:rsidRDefault="005241CE" w:rsidP="00B365A3">
      <w:pPr>
        <w:spacing w:after="0" w:line="240" w:lineRule="auto"/>
      </w:pPr>
      <w:r>
        <w:separator/>
      </w:r>
    </w:p>
  </w:endnote>
  <w:endnote w:type="continuationSeparator" w:id="1">
    <w:p w:rsidR="005241CE" w:rsidRDefault="005241CE"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14641"/>
      <w:docPartObj>
        <w:docPartGallery w:val="Page Numbers (Bottom of Page)"/>
        <w:docPartUnique/>
      </w:docPartObj>
    </w:sdtPr>
    <w:sdtContent>
      <w:p w:rsidR="004402C0" w:rsidRDefault="004402C0">
        <w:pPr>
          <w:pStyle w:val="Rodap"/>
          <w:jc w:val="right"/>
        </w:pPr>
        <w:fldSimple w:instr=" PAGE   \* MERGEFORMAT ">
          <w:r>
            <w:rPr>
              <w:noProof/>
            </w:rPr>
            <w:t>1</w:t>
          </w:r>
        </w:fldSimple>
      </w:p>
    </w:sdtContent>
  </w:sdt>
  <w:p w:rsidR="004402C0" w:rsidRDefault="004402C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41CE" w:rsidRDefault="005241CE" w:rsidP="00B365A3">
      <w:pPr>
        <w:spacing w:after="0" w:line="240" w:lineRule="auto"/>
      </w:pPr>
      <w:r>
        <w:separator/>
      </w:r>
    </w:p>
  </w:footnote>
  <w:footnote w:type="continuationSeparator" w:id="1">
    <w:p w:rsidR="005241CE" w:rsidRDefault="005241CE" w:rsidP="00B365A3">
      <w:pPr>
        <w:spacing w:after="0" w:line="240" w:lineRule="auto"/>
      </w:pPr>
      <w:r>
        <w:continuationSeparator/>
      </w:r>
    </w:p>
  </w:footnote>
  <w:footnote w:id="2">
    <w:p w:rsidR="007149A4" w:rsidRDefault="007149A4" w:rsidP="003A2F44">
      <w:pPr>
        <w:pStyle w:val="Textodenotaderodap"/>
        <w:jc w:val="both"/>
      </w:pPr>
      <w:r>
        <w:rPr>
          <w:rStyle w:val="Refdenotaderodap"/>
        </w:rPr>
        <w:footnoteRef/>
      </w:r>
      <w:r>
        <w:t xml:space="preserve"> Art. 167-D da Constituição Federal de 1988: “</w:t>
      </w:r>
      <w:r w:rsidRPr="003A2F44">
        <w:t xml:space="preserve">As proposições legislativas e os atos do Poder Executivo com propósito exclusivo de enfrentar a calamidade e suas consequências sociais e econômicas, </w:t>
      </w:r>
      <w:r w:rsidRPr="003A2F44">
        <w:rPr>
          <w:b/>
          <w:bCs/>
        </w:rPr>
        <w:t>com vigência e efe</w:t>
      </w:r>
      <w:r w:rsidRPr="003A2F44">
        <w:rPr>
          <w:b/>
          <w:bCs/>
        </w:rPr>
        <w:t>i</w:t>
      </w:r>
      <w:r w:rsidRPr="003A2F44">
        <w:rPr>
          <w:b/>
          <w:bCs/>
        </w:rPr>
        <w:t>tos restritos à sua duração</w:t>
      </w:r>
      <w:r w:rsidRPr="003A2F44">
        <w:t>, desde que não impliquem despesa obrigatória de caráter continuado, ficam di</w:t>
      </w:r>
      <w:r w:rsidRPr="003A2F44">
        <w:t>s</w:t>
      </w:r>
      <w:r w:rsidRPr="003A2F44">
        <w:t>pensados da observância das limitações legais quanto à criação, à expansão ou ao aperfeiçoamento de ação governamental que acarrete aumento de despesa e à concessão ou à ampliação de incentivo ou benefício de natureza tributária da qual decorra renúncia de receita.</w:t>
      </w:r>
      <w: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49A4" w:rsidRDefault="007149A4"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p w:rsidR="004402C0" w:rsidRDefault="004402C0" w:rsidP="00B365A3">
    <w:pPr>
      <w:pStyle w:val="Cabealho"/>
      <w:jc w:val="center"/>
      <w:rPr>
        <w:rFonts w:ascii="Times New Roman" w:hAnsi="Times New Roman" w:cs="Times New Roman"/>
      </w:rPr>
    </w:pPr>
    <w:r w:rsidRPr="004402C0">
      <w:rPr>
        <w:rFonts w:ascii="Times New Roman" w:hAnsi="Times New Roman" w:cs="Times New Roman"/>
      </w:rPr>
      <w:t>PROCURADORIA JURÍDICA</w:t>
    </w:r>
  </w:p>
  <w:p w:rsidR="004402C0" w:rsidRPr="004402C0" w:rsidRDefault="004402C0" w:rsidP="00B365A3">
    <w:pPr>
      <w:pStyle w:val="Cabealho"/>
      <w:jc w:val="center"/>
      <w:rPr>
        <w:rFonts w:ascii="Times New Roman" w:hAnsi="Times New Roman"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multilevel"/>
    <w:tmpl w:val="0AFE1E92"/>
    <w:lvl w:ilvl="0">
      <w:start w:val="1"/>
      <w:numFmt w:val="decimal"/>
      <w:lvlText w:val="%1."/>
      <w:lvlJc w:val="left"/>
      <w:pPr>
        <w:ind w:left="1494" w:hanging="360"/>
      </w:pPr>
      <w:rPr>
        <w:rFonts w:hint="default"/>
      </w:rPr>
    </w:lvl>
    <w:lvl w:ilvl="1">
      <w:start w:val="1"/>
      <w:numFmt w:val="decimal"/>
      <w:isLgl/>
      <w:lvlText w:val="%1.%2"/>
      <w:lvlJc w:val="left"/>
      <w:pPr>
        <w:ind w:left="1494" w:hanging="36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autoHyphenation/>
  <w:hyphenationZone w:val="425"/>
  <w:characterSpacingControl w:val="doNotCompress"/>
  <w:footnotePr>
    <w:footnote w:id="0"/>
    <w:footnote w:id="1"/>
  </w:footnotePr>
  <w:endnotePr>
    <w:endnote w:id="0"/>
    <w:endnote w:id="1"/>
  </w:endnotePr>
  <w:compat/>
  <w:rsids>
    <w:rsidRoot w:val="00B365A3"/>
    <w:rsid w:val="00027CCD"/>
    <w:rsid w:val="00032713"/>
    <w:rsid w:val="00036BC1"/>
    <w:rsid w:val="000714D3"/>
    <w:rsid w:val="000A0FA5"/>
    <w:rsid w:val="000C4C41"/>
    <w:rsid w:val="000D379C"/>
    <w:rsid w:val="00104B2C"/>
    <w:rsid w:val="00110DB4"/>
    <w:rsid w:val="00111CD9"/>
    <w:rsid w:val="001144C0"/>
    <w:rsid w:val="0011790D"/>
    <w:rsid w:val="001318B9"/>
    <w:rsid w:val="001359F1"/>
    <w:rsid w:val="00154DD1"/>
    <w:rsid w:val="00157DAD"/>
    <w:rsid w:val="00173378"/>
    <w:rsid w:val="0017380F"/>
    <w:rsid w:val="00187272"/>
    <w:rsid w:val="001A6A35"/>
    <w:rsid w:val="001B21CC"/>
    <w:rsid w:val="001C09D8"/>
    <w:rsid w:val="001C463E"/>
    <w:rsid w:val="001C67AB"/>
    <w:rsid w:val="001D5DB0"/>
    <w:rsid w:val="001F5ABA"/>
    <w:rsid w:val="001F5FE9"/>
    <w:rsid w:val="001F6BDB"/>
    <w:rsid w:val="002115F7"/>
    <w:rsid w:val="00214362"/>
    <w:rsid w:val="00241A87"/>
    <w:rsid w:val="00252BFB"/>
    <w:rsid w:val="00261C23"/>
    <w:rsid w:val="00281368"/>
    <w:rsid w:val="00296F1C"/>
    <w:rsid w:val="002A223B"/>
    <w:rsid w:val="002E13F9"/>
    <w:rsid w:val="003058A9"/>
    <w:rsid w:val="00351CD9"/>
    <w:rsid w:val="00360FD0"/>
    <w:rsid w:val="003617F4"/>
    <w:rsid w:val="00363010"/>
    <w:rsid w:val="0037113F"/>
    <w:rsid w:val="00384356"/>
    <w:rsid w:val="003A29D1"/>
    <w:rsid w:val="003A2F44"/>
    <w:rsid w:val="003C6A98"/>
    <w:rsid w:val="003E4768"/>
    <w:rsid w:val="003F04B9"/>
    <w:rsid w:val="0041616C"/>
    <w:rsid w:val="004270EB"/>
    <w:rsid w:val="00427655"/>
    <w:rsid w:val="0043364B"/>
    <w:rsid w:val="004402C0"/>
    <w:rsid w:val="00442275"/>
    <w:rsid w:val="00452BEE"/>
    <w:rsid w:val="004708DD"/>
    <w:rsid w:val="004735D9"/>
    <w:rsid w:val="004753E8"/>
    <w:rsid w:val="00483A65"/>
    <w:rsid w:val="004A219B"/>
    <w:rsid w:val="004A50A7"/>
    <w:rsid w:val="004C1854"/>
    <w:rsid w:val="004C538B"/>
    <w:rsid w:val="004D2D02"/>
    <w:rsid w:val="004D5B74"/>
    <w:rsid w:val="004D790D"/>
    <w:rsid w:val="004E7DEA"/>
    <w:rsid w:val="004F5449"/>
    <w:rsid w:val="00503D54"/>
    <w:rsid w:val="00514F37"/>
    <w:rsid w:val="00522433"/>
    <w:rsid w:val="005241CE"/>
    <w:rsid w:val="00525699"/>
    <w:rsid w:val="00536F72"/>
    <w:rsid w:val="005B09F6"/>
    <w:rsid w:val="005B4778"/>
    <w:rsid w:val="005D08EE"/>
    <w:rsid w:val="005D24B9"/>
    <w:rsid w:val="005E038B"/>
    <w:rsid w:val="005F4223"/>
    <w:rsid w:val="00605434"/>
    <w:rsid w:val="00613020"/>
    <w:rsid w:val="00621A26"/>
    <w:rsid w:val="006317C1"/>
    <w:rsid w:val="006336AD"/>
    <w:rsid w:val="006403F8"/>
    <w:rsid w:val="006404C0"/>
    <w:rsid w:val="00653047"/>
    <w:rsid w:val="00663CA9"/>
    <w:rsid w:val="006832EA"/>
    <w:rsid w:val="0069397C"/>
    <w:rsid w:val="006A5F64"/>
    <w:rsid w:val="006F206E"/>
    <w:rsid w:val="007149A4"/>
    <w:rsid w:val="00720AC8"/>
    <w:rsid w:val="00731275"/>
    <w:rsid w:val="00734316"/>
    <w:rsid w:val="00743898"/>
    <w:rsid w:val="007534D1"/>
    <w:rsid w:val="00756E13"/>
    <w:rsid w:val="00764EB5"/>
    <w:rsid w:val="00775833"/>
    <w:rsid w:val="0078109A"/>
    <w:rsid w:val="007854E6"/>
    <w:rsid w:val="00795648"/>
    <w:rsid w:val="007A11E7"/>
    <w:rsid w:val="007A5BD4"/>
    <w:rsid w:val="007A6EB8"/>
    <w:rsid w:val="007C5EC4"/>
    <w:rsid w:val="007D2488"/>
    <w:rsid w:val="007D3465"/>
    <w:rsid w:val="00811016"/>
    <w:rsid w:val="008138B2"/>
    <w:rsid w:val="0081643A"/>
    <w:rsid w:val="008165C9"/>
    <w:rsid w:val="00820BFB"/>
    <w:rsid w:val="008219BC"/>
    <w:rsid w:val="00825041"/>
    <w:rsid w:val="00840C25"/>
    <w:rsid w:val="008426D4"/>
    <w:rsid w:val="00847C81"/>
    <w:rsid w:val="00855E49"/>
    <w:rsid w:val="00877381"/>
    <w:rsid w:val="00882E18"/>
    <w:rsid w:val="0089531F"/>
    <w:rsid w:val="008A02A8"/>
    <w:rsid w:val="008A068B"/>
    <w:rsid w:val="008A2506"/>
    <w:rsid w:val="008C2832"/>
    <w:rsid w:val="008D3901"/>
    <w:rsid w:val="008D5EE7"/>
    <w:rsid w:val="008E36FD"/>
    <w:rsid w:val="00905B60"/>
    <w:rsid w:val="00922568"/>
    <w:rsid w:val="00940D9E"/>
    <w:rsid w:val="00965DF3"/>
    <w:rsid w:val="009677B1"/>
    <w:rsid w:val="00972CBD"/>
    <w:rsid w:val="009762CB"/>
    <w:rsid w:val="0099082C"/>
    <w:rsid w:val="009957E0"/>
    <w:rsid w:val="009A1232"/>
    <w:rsid w:val="009B4E0E"/>
    <w:rsid w:val="009B7D3B"/>
    <w:rsid w:val="009C1917"/>
    <w:rsid w:val="009E03A3"/>
    <w:rsid w:val="009F2939"/>
    <w:rsid w:val="00A16B48"/>
    <w:rsid w:val="00A21D90"/>
    <w:rsid w:val="00A50DD8"/>
    <w:rsid w:val="00A67245"/>
    <w:rsid w:val="00A77DF1"/>
    <w:rsid w:val="00A808BC"/>
    <w:rsid w:val="00A80C91"/>
    <w:rsid w:val="00A82C9A"/>
    <w:rsid w:val="00A86694"/>
    <w:rsid w:val="00A87FD4"/>
    <w:rsid w:val="00A91A8F"/>
    <w:rsid w:val="00AC25A3"/>
    <w:rsid w:val="00AD1FC2"/>
    <w:rsid w:val="00AF6E8B"/>
    <w:rsid w:val="00B12926"/>
    <w:rsid w:val="00B365A3"/>
    <w:rsid w:val="00B44BC1"/>
    <w:rsid w:val="00B46C1D"/>
    <w:rsid w:val="00B533CB"/>
    <w:rsid w:val="00B53EAE"/>
    <w:rsid w:val="00B55850"/>
    <w:rsid w:val="00B56946"/>
    <w:rsid w:val="00B7562F"/>
    <w:rsid w:val="00B76FC5"/>
    <w:rsid w:val="00B81E40"/>
    <w:rsid w:val="00BA0E04"/>
    <w:rsid w:val="00BC0C77"/>
    <w:rsid w:val="00BC5E68"/>
    <w:rsid w:val="00BC75A8"/>
    <w:rsid w:val="00BD2F4D"/>
    <w:rsid w:val="00BE3B36"/>
    <w:rsid w:val="00BE7925"/>
    <w:rsid w:val="00C11D63"/>
    <w:rsid w:val="00C12338"/>
    <w:rsid w:val="00C12811"/>
    <w:rsid w:val="00C15C42"/>
    <w:rsid w:val="00C23EB9"/>
    <w:rsid w:val="00C32837"/>
    <w:rsid w:val="00C65972"/>
    <w:rsid w:val="00C67857"/>
    <w:rsid w:val="00C702E7"/>
    <w:rsid w:val="00C7445E"/>
    <w:rsid w:val="00C82CBB"/>
    <w:rsid w:val="00C96DE5"/>
    <w:rsid w:val="00CD0562"/>
    <w:rsid w:val="00CF27FE"/>
    <w:rsid w:val="00CF7F57"/>
    <w:rsid w:val="00D00DD4"/>
    <w:rsid w:val="00D03213"/>
    <w:rsid w:val="00D22612"/>
    <w:rsid w:val="00D22B12"/>
    <w:rsid w:val="00D241F4"/>
    <w:rsid w:val="00D2559E"/>
    <w:rsid w:val="00D479F6"/>
    <w:rsid w:val="00D51EF2"/>
    <w:rsid w:val="00D52C41"/>
    <w:rsid w:val="00D6756B"/>
    <w:rsid w:val="00D90B53"/>
    <w:rsid w:val="00D917A7"/>
    <w:rsid w:val="00DA62A6"/>
    <w:rsid w:val="00DA7A73"/>
    <w:rsid w:val="00DC0230"/>
    <w:rsid w:val="00DC0FFE"/>
    <w:rsid w:val="00DC21F6"/>
    <w:rsid w:val="00DC5CBE"/>
    <w:rsid w:val="00DC63EE"/>
    <w:rsid w:val="00DD270C"/>
    <w:rsid w:val="00DD6925"/>
    <w:rsid w:val="00E03D89"/>
    <w:rsid w:val="00E06C84"/>
    <w:rsid w:val="00E145C7"/>
    <w:rsid w:val="00E24BEA"/>
    <w:rsid w:val="00E47440"/>
    <w:rsid w:val="00E501C1"/>
    <w:rsid w:val="00E50DB0"/>
    <w:rsid w:val="00E5368A"/>
    <w:rsid w:val="00E567A6"/>
    <w:rsid w:val="00E717A7"/>
    <w:rsid w:val="00E72523"/>
    <w:rsid w:val="00E725AB"/>
    <w:rsid w:val="00E84D7A"/>
    <w:rsid w:val="00E87173"/>
    <w:rsid w:val="00E962EB"/>
    <w:rsid w:val="00EA512E"/>
    <w:rsid w:val="00EB0ABE"/>
    <w:rsid w:val="00EB37F2"/>
    <w:rsid w:val="00EB42B2"/>
    <w:rsid w:val="00EC035D"/>
    <w:rsid w:val="00EC5747"/>
    <w:rsid w:val="00EC7110"/>
    <w:rsid w:val="00ED7562"/>
    <w:rsid w:val="00EE264F"/>
    <w:rsid w:val="00EE33F4"/>
    <w:rsid w:val="00EE3ED7"/>
    <w:rsid w:val="00EE7786"/>
    <w:rsid w:val="00EF3796"/>
    <w:rsid w:val="00F41023"/>
    <w:rsid w:val="00F517D4"/>
    <w:rsid w:val="00F6334E"/>
    <w:rsid w:val="00F6465F"/>
    <w:rsid w:val="00F85172"/>
    <w:rsid w:val="00F87BF5"/>
    <w:rsid w:val="00F92D4B"/>
    <w:rsid w:val="00F93C21"/>
    <w:rsid w:val="00F94625"/>
    <w:rsid w:val="00FA1683"/>
    <w:rsid w:val="00FA2E34"/>
    <w:rsid w:val="00FA3059"/>
    <w:rsid w:val="00FA7AE5"/>
    <w:rsid w:val="00FB7B47"/>
    <w:rsid w:val="00FC2476"/>
    <w:rsid w:val="00FC78D1"/>
    <w:rsid w:val="00FC7A41"/>
    <w:rsid w:val="00FD086D"/>
    <w:rsid w:val="00FD3A5D"/>
    <w:rsid w:val="00FF1982"/>
    <w:rsid w:val="00FF3AFF"/>
    <w:rsid w:val="00FF7B4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281368"/>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label">
    <w:name w:val="label"/>
    <w:basedOn w:val="Fontepargpadro"/>
    <w:rsid w:val="00D6756B"/>
  </w:style>
  <w:style w:type="paragraph" w:styleId="Textodenotaderodap">
    <w:name w:val="footnote text"/>
    <w:basedOn w:val="Normal"/>
    <w:link w:val="TextodenotaderodapChar"/>
    <w:uiPriority w:val="99"/>
    <w:semiHidden/>
    <w:unhideWhenUsed/>
    <w:rsid w:val="00E87173"/>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E87173"/>
    <w:rPr>
      <w:sz w:val="20"/>
      <w:szCs w:val="20"/>
    </w:rPr>
  </w:style>
  <w:style w:type="character" w:styleId="Refdenotaderodap">
    <w:name w:val="footnote reference"/>
    <w:basedOn w:val="Fontepargpadro"/>
    <w:uiPriority w:val="99"/>
    <w:semiHidden/>
    <w:unhideWhenUsed/>
    <w:rsid w:val="00E87173"/>
    <w:rPr>
      <w:vertAlign w:val="superscript"/>
    </w:rPr>
  </w:style>
</w:styles>
</file>

<file path=word/webSettings.xml><?xml version="1.0" encoding="utf-8"?>
<w:webSettings xmlns:r="http://schemas.openxmlformats.org/officeDocument/2006/relationships" xmlns:w="http://schemas.openxmlformats.org/wordprocessingml/2006/main">
  <w:divs>
    <w:div w:id="1489979724">
      <w:bodyDiv w:val="1"/>
      <w:marLeft w:val="0"/>
      <w:marRight w:val="0"/>
      <w:marTop w:val="0"/>
      <w:marBottom w:val="0"/>
      <w:divBdr>
        <w:top w:val="none" w:sz="0" w:space="0" w:color="auto"/>
        <w:left w:val="none" w:sz="0" w:space="0" w:color="auto"/>
        <w:bottom w:val="none" w:sz="0" w:space="0" w:color="auto"/>
        <w:right w:val="none" w:sz="0" w:space="0" w:color="auto"/>
      </w:divBdr>
    </w:div>
    <w:div w:id="166431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DD99F8-25C3-4C94-AF80-B90F3C65D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3714</Words>
  <Characters>20061</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Admin</cp:lastModifiedBy>
  <cp:revision>15</cp:revision>
  <cp:lastPrinted>2021-05-03T15:28:00Z</cp:lastPrinted>
  <dcterms:created xsi:type="dcterms:W3CDTF">2021-05-03T14:09:00Z</dcterms:created>
  <dcterms:modified xsi:type="dcterms:W3CDTF">2025-03-10T17:00:00Z</dcterms:modified>
</cp:coreProperties>
</file>