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C63" w:rsidRDefault="002D1C63" w:rsidP="002D1C63">
      <w:pPr>
        <w:jc w:val="center"/>
        <w:rPr>
          <w:rFonts w:cstheme="minorHAnsi"/>
          <w:b/>
          <w:sz w:val="40"/>
          <w:u w:val="single"/>
        </w:rPr>
      </w:pPr>
      <w:r w:rsidRPr="00BD3F52">
        <w:rPr>
          <w:rFonts w:cstheme="minorHAnsi"/>
          <w:b/>
          <w:sz w:val="40"/>
          <w:u w:val="single"/>
        </w:rPr>
        <w:t xml:space="preserve">AUTÓGRAFO DE LEI </w:t>
      </w:r>
      <w:r w:rsidRPr="002D1C63">
        <w:rPr>
          <w:rFonts w:cstheme="minorHAnsi"/>
          <w:b/>
          <w:sz w:val="40"/>
          <w:u w:val="single"/>
        </w:rPr>
        <w:t>Nº 1.347/</w:t>
      </w:r>
      <w:r w:rsidRPr="00BD3F52">
        <w:rPr>
          <w:rFonts w:cstheme="minorHAnsi"/>
          <w:b/>
          <w:sz w:val="40"/>
          <w:u w:val="single"/>
        </w:rPr>
        <w:t>2022.</w:t>
      </w:r>
    </w:p>
    <w:p w:rsidR="002D1C63" w:rsidRDefault="002D1C63" w:rsidP="002D1C63">
      <w:pPr>
        <w:pStyle w:val="Ttulo"/>
        <w:spacing w:line="360" w:lineRule="auto"/>
        <w:rPr>
          <w:rFonts w:asciiTheme="majorHAnsi" w:hAnsiTheme="majorHAnsi" w:cstheme="majorHAnsi"/>
          <w:sz w:val="20"/>
          <w:u w:val="none"/>
        </w:rPr>
      </w:pPr>
      <w:r w:rsidRPr="002D1C63">
        <w:rPr>
          <w:rFonts w:asciiTheme="majorHAnsi" w:hAnsiTheme="majorHAnsi" w:cstheme="majorHAnsi"/>
          <w:b w:val="0"/>
          <w:sz w:val="22"/>
          <w:u w:val="none"/>
        </w:rPr>
        <w:t>“Dispõe sobre Reforço de Dotações Orçamentárias no Orçamento Vigente”</w:t>
      </w:r>
    </w:p>
    <w:p w:rsidR="002D1C63" w:rsidRPr="00C040A4" w:rsidRDefault="002D1C63" w:rsidP="002D1C63">
      <w:pPr>
        <w:pStyle w:val="Ttulo"/>
        <w:spacing w:line="360" w:lineRule="auto"/>
        <w:ind w:firstLine="2835"/>
        <w:jc w:val="both"/>
        <w:rPr>
          <w:rFonts w:asciiTheme="majorHAnsi" w:hAnsiTheme="majorHAnsi" w:cstheme="majorHAnsi"/>
          <w:sz w:val="20"/>
          <w:u w:val="none"/>
        </w:rPr>
      </w:pPr>
    </w:p>
    <w:p w:rsidR="002D1C63" w:rsidRDefault="002D1C63" w:rsidP="002D1C63">
      <w:pPr>
        <w:pStyle w:val="Ttulo"/>
        <w:spacing w:line="360" w:lineRule="auto"/>
        <w:ind w:firstLine="2835"/>
        <w:jc w:val="both"/>
        <w:rPr>
          <w:rFonts w:asciiTheme="majorHAnsi" w:hAnsiTheme="majorHAnsi" w:cstheme="majorHAnsi"/>
          <w:sz w:val="20"/>
          <w:u w:val="none"/>
        </w:rPr>
      </w:pPr>
    </w:p>
    <w:p w:rsidR="00AF702C" w:rsidRPr="00C040A4" w:rsidRDefault="00AF702C" w:rsidP="002D1C63">
      <w:pPr>
        <w:pStyle w:val="Ttulo"/>
        <w:spacing w:line="360" w:lineRule="auto"/>
        <w:ind w:firstLine="2835"/>
        <w:jc w:val="both"/>
        <w:rPr>
          <w:rFonts w:asciiTheme="majorHAnsi" w:hAnsiTheme="majorHAnsi" w:cstheme="majorHAnsi"/>
          <w:sz w:val="20"/>
          <w:u w:val="none"/>
        </w:rPr>
      </w:pPr>
    </w:p>
    <w:p w:rsidR="002D1C63" w:rsidRPr="00C040A4" w:rsidRDefault="002D1C63" w:rsidP="002D1C63">
      <w:pPr>
        <w:pStyle w:val="Ttulo"/>
        <w:spacing w:line="360" w:lineRule="auto"/>
        <w:ind w:left="3540"/>
        <w:jc w:val="both"/>
        <w:rPr>
          <w:rFonts w:asciiTheme="minorHAnsi" w:hAnsiTheme="minorHAnsi" w:cstheme="minorHAnsi"/>
          <w:sz w:val="28"/>
          <w:u w:val="none"/>
        </w:rPr>
      </w:pPr>
      <w:r w:rsidRPr="00C040A4">
        <w:rPr>
          <w:rFonts w:asciiTheme="minorHAnsi" w:hAnsiTheme="minorHAnsi" w:cstheme="minorHAnsi"/>
          <w:sz w:val="28"/>
          <w:u w:val="none"/>
        </w:rPr>
        <w:t>A CÂMARA MUNICIPAL DE PLATINA APROVA:</w:t>
      </w:r>
    </w:p>
    <w:p w:rsidR="002D1C63" w:rsidRDefault="002D1C63" w:rsidP="002D1C63">
      <w:pPr>
        <w:pStyle w:val="Ttulo"/>
        <w:spacing w:line="320" w:lineRule="atLeast"/>
        <w:ind w:firstLine="2835"/>
        <w:jc w:val="both"/>
        <w:rPr>
          <w:rFonts w:asciiTheme="majorHAnsi" w:hAnsiTheme="majorHAnsi" w:cstheme="majorHAnsi"/>
          <w:sz w:val="22"/>
          <w:szCs w:val="22"/>
          <w:u w:val="none"/>
        </w:rPr>
      </w:pPr>
    </w:p>
    <w:p w:rsidR="002D1C63" w:rsidRPr="000C15FC" w:rsidRDefault="002D1C63" w:rsidP="002D1C63">
      <w:pPr>
        <w:pStyle w:val="Ttulo"/>
        <w:spacing w:line="320" w:lineRule="atLeast"/>
        <w:ind w:firstLine="2835"/>
        <w:jc w:val="both"/>
        <w:rPr>
          <w:rFonts w:asciiTheme="majorHAnsi" w:hAnsiTheme="majorHAnsi" w:cstheme="majorHAnsi"/>
          <w:sz w:val="22"/>
          <w:szCs w:val="22"/>
          <w:u w:val="none"/>
        </w:rPr>
      </w:pPr>
    </w:p>
    <w:p w:rsidR="002D1C63" w:rsidRPr="000C15FC" w:rsidRDefault="002D1C63" w:rsidP="002D1C63">
      <w:pPr>
        <w:pStyle w:val="Ttulo"/>
        <w:spacing w:line="320" w:lineRule="atLeast"/>
        <w:ind w:firstLine="2835"/>
        <w:jc w:val="both"/>
        <w:rPr>
          <w:rFonts w:asciiTheme="majorHAnsi" w:hAnsiTheme="majorHAnsi" w:cstheme="majorHAnsi"/>
          <w:sz w:val="22"/>
          <w:szCs w:val="22"/>
          <w:u w:val="none"/>
        </w:rPr>
      </w:pPr>
    </w:p>
    <w:p w:rsidR="002D1C63" w:rsidRPr="000C15FC" w:rsidRDefault="002D1C63" w:rsidP="002D1C63">
      <w:pPr>
        <w:pStyle w:val="Ttulo"/>
        <w:spacing w:line="360" w:lineRule="auto"/>
        <w:ind w:firstLine="1418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sz w:val="22"/>
          <w:szCs w:val="22"/>
          <w:u w:val="none"/>
        </w:rPr>
        <w:t xml:space="preserve">Art. 1º </w:t>
      </w:r>
      <w:r w:rsidRPr="000C15FC">
        <w:rPr>
          <w:rFonts w:asciiTheme="majorHAnsi" w:hAnsiTheme="majorHAnsi" w:cstheme="majorHAnsi"/>
          <w:b w:val="0"/>
          <w:bCs w:val="0"/>
          <w:sz w:val="22"/>
          <w:szCs w:val="22"/>
          <w:u w:val="none"/>
        </w:rPr>
        <w:t xml:space="preserve">-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>Fica autorizado a abertura de crédito adicional suplementar no valor R$ 791.000,00 (setecentos e noventa e um mil reais), destinados ao reforço de dotações orçamentárias, conforme classificação orçamentária abaixo,</w:t>
      </w:r>
    </w:p>
    <w:p w:rsidR="002D1C63" w:rsidRPr="000C15FC" w:rsidRDefault="002D1C63" w:rsidP="002D1C63">
      <w:pPr>
        <w:pStyle w:val="Ttulo"/>
        <w:spacing w:line="360" w:lineRule="auto"/>
        <w:ind w:firstLine="1418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041220003.2.024000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 xml:space="preserve">MANUTENÇÃO DA ADMINISTRAÇÃO   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proofErr w:type="gramStart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3.3.90.36.00.00.00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proofErr w:type="gramEnd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 xml:space="preserve">OUTROS SERVIÇOS DE TERCEIROS - PESSOA FÍSICA                                                                  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248    </w:t>
      </w:r>
      <w:proofErr w:type="gramStart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>Fonte....</w:t>
      </w:r>
      <w:proofErr w:type="gramEnd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:    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 xml:space="preserve">1 TESOURO                                                                                            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Aplicação: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 xml:space="preserve">110.0000 GERAL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Valor: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>R$ 4.000,00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                                            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082440011.2.008000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 xml:space="preserve">MANUTENÇÃO DA ASSISTENCIA SOCIAL - PROPRIO  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proofErr w:type="gramStart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4.4.90.52.00.00.00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proofErr w:type="gramEnd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 xml:space="preserve">EQUIPAMENTOS E MATERIAL PERMANENTE                                                                        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401    </w:t>
      </w:r>
      <w:proofErr w:type="gramStart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>Fonte....</w:t>
      </w:r>
      <w:proofErr w:type="gramEnd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:    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 xml:space="preserve">1 TESOURO                                                                                            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Aplicação: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 xml:space="preserve">510.0000 ASSISTÊNCIA SOCIAL-GERAL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Valor: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>R$ 10.000,00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>082430008.2.028000</w:t>
      </w:r>
      <w:r w:rsidR="000C15FC"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="000C15FC"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MANUTENÇÃO DA ASSISTENCIA A CRIANÇA E AO ADOLESCENTE                                                       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proofErr w:type="gramStart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3.1.90.11.00.00.00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proofErr w:type="gramEnd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 xml:space="preserve">VENCIMENTOS E VANTAGENS FIXAS - PESSOAL                                                                   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742    </w:t>
      </w:r>
      <w:proofErr w:type="gramStart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>Fonte....</w:t>
      </w:r>
      <w:proofErr w:type="gramEnd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:    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 xml:space="preserve">1 TESOURO                                                                                            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Aplicação: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 xml:space="preserve">510.0000 ASSISTÊNCIA SOCIAL-GERAL            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Valor: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>R$ 5.000,00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proofErr w:type="gramStart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lastRenderedPageBreak/>
        <w:t xml:space="preserve">3.1.90.13.00.00.00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proofErr w:type="gramEnd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OBRIGAÇÕES PATRONAIS                                                                                      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757    </w:t>
      </w:r>
      <w:proofErr w:type="gramStart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>Fonte....</w:t>
      </w:r>
      <w:proofErr w:type="gramEnd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:    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 xml:space="preserve">1 TESOURO                                                                                            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Aplicação: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 xml:space="preserve">510.0000 ASSISTÊNCIA SOCIAL-GERAL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Valor: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>R$ 1.000,00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proofErr w:type="gramStart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>082440028.2.027000</w:t>
      </w:r>
      <w:r w:rsidR="00AF702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  </w:t>
      </w:r>
      <w:r w:rsidR="00AF702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proofErr w:type="gramEnd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MANUTENÇÃO DO FUNDO SOCIAL DE SOLIDARIEDADE   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proofErr w:type="gramStart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3.1.90.16.00.00.00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proofErr w:type="gramEnd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OUTRAS DESPESAS VARIÁVEIS - PESSOAL CIVIL                                                                  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831    </w:t>
      </w:r>
      <w:proofErr w:type="gramStart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>Fonte....</w:t>
      </w:r>
      <w:proofErr w:type="gramEnd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:    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 xml:space="preserve">1 TESOURO                                                                                            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Aplicação: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 xml:space="preserve">510.0000 ASSISTÊNCIA SOCIAL-GERAL  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Valor: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>R$ 2.000,00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103010013.2.011000 </w:t>
      </w:r>
      <w:r w:rsidR="00AF702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MANUTENÇÃO DO FUNDO MUNICIPAL DE SAÚDE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proofErr w:type="gramStart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3.1.90.11.00.00.00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proofErr w:type="gramEnd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VENCIMENTOS E VANTAGENS FIXAS - PESSOAL                                                                   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894    </w:t>
      </w:r>
      <w:proofErr w:type="gramStart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>Fonte....</w:t>
      </w:r>
      <w:proofErr w:type="gramEnd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:    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 xml:space="preserve">1 TESOURO                                                                                            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Aplicação: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>310.0000 SAÚDE-GERAL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Valor: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>R$ 65.000,00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proofErr w:type="gramStart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3.3.90.30.00.00.00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proofErr w:type="gramEnd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MATERIAL DE CONSUMO                                                                                       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916    </w:t>
      </w:r>
      <w:proofErr w:type="gramStart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>Fonte....</w:t>
      </w:r>
      <w:proofErr w:type="gramEnd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:    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 xml:space="preserve">1 TESOURO                                                                                            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Aplicação: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>310.0000 SAÚDE-GERAL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proofErr w:type="gramStart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>Valor: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proofErr w:type="gramEnd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 xml:space="preserve"> R$ 100.000,00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proofErr w:type="gramStart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3.3.90.32.00.00.00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proofErr w:type="gramEnd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MATERIAL, BEM OU SERVIÇO PARA DISTRIBUIÇÃO GRATUITA                                                                  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945    </w:t>
      </w:r>
      <w:proofErr w:type="gramStart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>Fonte....</w:t>
      </w:r>
      <w:proofErr w:type="gramEnd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:    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 xml:space="preserve">1 TESOURO                                                                                            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Aplicação: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 xml:space="preserve">310.0000 SAÚDE-GERAL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Valor: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>R$ 100.000,00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>103010013.2.111000</w:t>
      </w:r>
      <w:r w:rsidR="00AF702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MANUTENÇÃO DO PROGRAMA AGENTE COMUNITARIO DA SAUDE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proofErr w:type="gramStart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3.1.90.11.00.00.00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proofErr w:type="gramEnd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VENCIMENTOS E VANTAGENS FIXAS - PESSOAL                                                                   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3288    </w:t>
      </w:r>
      <w:proofErr w:type="gramStart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>Fonte....</w:t>
      </w:r>
      <w:proofErr w:type="gramEnd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:    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 xml:space="preserve">5 TRANSFERÊNCIAS E CONVÊNIOS FEDERAIS-VINCULADOS                                                           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lastRenderedPageBreak/>
        <w:t xml:space="preserve">Aplicação: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 xml:space="preserve">313.0000 </w:t>
      </w:r>
      <w:r w:rsidR="00AF702C"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TRANSFERÊNCIAS DO GOVERNO FEDERAL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Valor: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>R$ 98.000,00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proofErr w:type="gramStart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3.1.90.13.00.00.00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proofErr w:type="gramEnd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OBRIGAÇÕES PATRONAIS                                                                                      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1215    </w:t>
      </w:r>
      <w:proofErr w:type="gramStart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>Fonte....</w:t>
      </w:r>
      <w:proofErr w:type="gramEnd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:    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 xml:space="preserve">1 TESOURO                                                                                            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Aplicação: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 xml:space="preserve">310.0000 SAÚDE-GERAL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Valor: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>R$ 21.000,00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>123610022.2.042000</w:t>
      </w:r>
      <w:r w:rsidR="00AF702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MANUTENÇÃO DO FUNDEB FUNDAMENTAL MAGISTERIO - 70%                                                          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proofErr w:type="gramStart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3.1.90.04.00.00.00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proofErr w:type="gramEnd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CONTRATAÇÃO POR TEMPO DETERMINADO                                                                         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1484    </w:t>
      </w:r>
      <w:proofErr w:type="gramStart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>Fonte....</w:t>
      </w:r>
      <w:proofErr w:type="gramEnd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:    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 xml:space="preserve">2 TRANSFERÊNCIAS E CONVÊNIOS ESTADUAIS-VINCULADOS                                                           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Aplicação: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 xml:space="preserve">261.0000 EDUCAÇÃO - FUNDEB - MAGISTÉRIO / Profissionais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Valor: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>R$ 30.000,00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proofErr w:type="gramStart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3.1.90.13.00.00.00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proofErr w:type="gramEnd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OBRIGAÇÕES PATRONAIS                                                                                      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1504    </w:t>
      </w:r>
      <w:proofErr w:type="gramStart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>Fonte....</w:t>
      </w:r>
      <w:proofErr w:type="gramEnd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:    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 xml:space="preserve">2 TRANSFERÊNCIAS E CONVÊNIOS ESTADUAIS-VINCULADOS                                                           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Aplicação: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 xml:space="preserve">261.0000 EDUCAÇÃO - FUNDEB - MAGISTÉRIO / Profissionais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Valor: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>R$ 25.000,00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123610022.2.047000 </w:t>
      </w:r>
      <w:r w:rsidR="00AF702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MANUTENÇÃO DO FUNDEB FUNDAMENTAL OUTRAS - 30%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proofErr w:type="gramStart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3.3.90.46.00.00.00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proofErr w:type="gramEnd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AUXÍLIO ALIMENTAÇÃO                                                                                       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1577    </w:t>
      </w:r>
      <w:proofErr w:type="gramStart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>Fonte....</w:t>
      </w:r>
      <w:proofErr w:type="gramEnd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:    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 xml:space="preserve">2 TRANSFERÊNCIAS E CONVÊNIOS ESTADUAIS-VINCULADOS                                                           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Aplicação: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>262.0000 EDUCAÇÃO-FUNDEB-OUTROS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Valor: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>R$ 21.000,00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123650022.2.041000 </w:t>
      </w:r>
      <w:r w:rsidR="00AF702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MANUTENÇÃO DO FUNDEB PRE ESCOLA MAGISTÉRIO - 70%                                                           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proofErr w:type="gramStart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3.1.90.04.00.00.00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proofErr w:type="gramEnd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CONTRATAÇÃO POR TEMPO DETERMINADO                                                                         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1584    </w:t>
      </w:r>
      <w:proofErr w:type="gramStart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>Fonte....</w:t>
      </w:r>
      <w:proofErr w:type="gramEnd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:    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 xml:space="preserve">2 TRANSFERÊNCIAS E CONVÊNIOS ESTADUAIS-VINCULADOS                                                           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Aplicação: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 xml:space="preserve">261.0000 EDUCAÇÃO - FUNDEB - MAGISTÉRIO / Profissionais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Valor: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>R$ 63.000,00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lastRenderedPageBreak/>
        <w:t xml:space="preserve">123650020.2.120000 </w:t>
      </w:r>
      <w:r w:rsidR="00AF702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 xml:space="preserve">MANUTENÇÃO DA CRECHE MUNICIPAL 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proofErr w:type="gramStart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3.3.90.39.00.00.00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proofErr w:type="gramEnd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 xml:space="preserve">OUTROS SERVIÇOS DE TERCEIROS - PESSOA JURIDICA                                                                  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1812    </w:t>
      </w:r>
      <w:proofErr w:type="gramStart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>Fonte....</w:t>
      </w:r>
      <w:proofErr w:type="gramEnd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:    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 xml:space="preserve">1 TESOURO                                                                                            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Aplicação: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 xml:space="preserve">210.0000 EDUCAÇÃO INFANTIL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Valor: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>R$ 2.000,00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123650020.2.121000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="00AF702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MANUTENÇÃO DA PRE-ESCOLA  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proofErr w:type="gramStart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3.1.90.11.00.00.00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proofErr w:type="gramEnd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 xml:space="preserve">VENCIMENTOS E VANTAGENS FIXAS - PESSOAL                                                                   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1836    </w:t>
      </w:r>
      <w:proofErr w:type="gramStart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>Fonte....</w:t>
      </w:r>
      <w:proofErr w:type="gramEnd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:    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 xml:space="preserve">1 TESOURO                                                                                            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Aplicação: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 xml:space="preserve">210.0000 EDUCAÇÃO INFANTIL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Valor: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>R$ 39.000,00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proofErr w:type="gramStart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3.1.90.13.00.00.00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proofErr w:type="gramEnd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 xml:space="preserve">OBRIGAÇÕES PATRONAIS                                                                                      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1851    </w:t>
      </w:r>
      <w:proofErr w:type="gramStart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>Fonte....</w:t>
      </w:r>
      <w:proofErr w:type="gramEnd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:    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 xml:space="preserve">1 TESOURO                                                                                            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Aplicação: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>210.0000 EDUCAÇÃO INFANTIL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Valor: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>R$ 15.000,00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123610020.2.116000 </w:t>
      </w:r>
      <w:r w:rsidR="00AF702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>MANUTENÇÃO DO ENSINO FUNDAMENTAL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proofErr w:type="gramStart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3.1.90.13.00.00.00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proofErr w:type="gramEnd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 xml:space="preserve">OBRIGAÇÕES PATRONAIS                                                                                      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1932    </w:t>
      </w:r>
      <w:proofErr w:type="gramStart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>Fonte....</w:t>
      </w:r>
      <w:proofErr w:type="gramEnd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:    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 xml:space="preserve">1 TESOURO                                                                                            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Aplicação: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 xml:space="preserve">220.0000 ENSINO FUNDAMENTAL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Valor: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>R$ 5.000,00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proofErr w:type="gramStart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3.3.90.46.00.00.00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proofErr w:type="gramEnd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 xml:space="preserve">AUXÍLIO ALIMENTAÇÃO                                                                                       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1998    </w:t>
      </w:r>
      <w:proofErr w:type="gramStart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>Fonte....</w:t>
      </w:r>
      <w:proofErr w:type="gramEnd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:    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 xml:space="preserve">1 TESOURO                                                                                            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Aplicação: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 xml:space="preserve">220.0000 ENSINO FUNDAMENTAL        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Valor: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>R$ 100.000,00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123610020.2.119000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="00AF702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ENSINO FUNDAMENTAL - TRANSP. DE ALUNOS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proofErr w:type="gramStart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3.3.90.39.00.00.00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proofErr w:type="gramEnd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 xml:space="preserve">OUTROS SERVIÇOS DE TERCEIROS - PESSOA JURIDICA                                                                  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lastRenderedPageBreak/>
        <w:t xml:space="preserve">2149    </w:t>
      </w:r>
      <w:proofErr w:type="gramStart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>Fonte....</w:t>
      </w:r>
      <w:proofErr w:type="gramEnd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:    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 xml:space="preserve">1 TESOURO                                                                                            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Aplicação: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 xml:space="preserve">220.0000 ENSINO FUNDAMENTAL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Valor: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>R$ 5.000,00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proofErr w:type="gramStart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3.3.90.39.00.00.00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proofErr w:type="gramEnd"/>
      <w:r w:rsidR="00AF702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OUTROS SERVIÇOS DE TERCEIROS - PESSOA JURIDICA                                                                  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2167    </w:t>
      </w:r>
      <w:proofErr w:type="gramStart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>Fonte....</w:t>
      </w:r>
      <w:proofErr w:type="gramEnd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:   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="00AF702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2 TRANSFERÊNCIAS E CONVÊNIOS ESTADUAIS-VINCULADOS                                                           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Aplicação: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="00AF702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>220.0000 ENSINO FUNDAMENTAL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Valor: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="00AF702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>R$ 10.000,00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proofErr w:type="gramStart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3.3.90.39.00.00.00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proofErr w:type="gramEnd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 xml:space="preserve">OUTROS SERVIÇOS DE TERCEIROS - PESSOA JURIDICA                                                                  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2185    </w:t>
      </w:r>
      <w:proofErr w:type="gramStart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>Fonte....</w:t>
      </w:r>
      <w:proofErr w:type="gramEnd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:    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 xml:space="preserve">5 TRANSFERÊNCIAS E CONVÊNIOS FEDERAIS-VINCULADOS                                                           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Aplicação: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 xml:space="preserve">220.0000 ENSINO FUNDAMENTAL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Valor: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>R$ 5.000,00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proofErr w:type="gramStart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3.3.90.46.00.00.00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proofErr w:type="gramEnd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 xml:space="preserve">AUXÍLIO ALIMENTAÇÃO                                                                                       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2203    </w:t>
      </w:r>
      <w:proofErr w:type="gramStart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>Fonte....</w:t>
      </w:r>
      <w:proofErr w:type="gramEnd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:    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 xml:space="preserve">1 TESOURO                                                                                            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Aplicação: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 xml:space="preserve">220.0000 ENSINO FUNDAMENTAL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Valor: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>R$ 19.000,00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123630021.2.040000 </w:t>
      </w:r>
      <w:r w:rsidR="00AF702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="00AF702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MANUTENÇÃO DO ENSINO PROFISSIONAL, MÉDIO E SUPERIOR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proofErr w:type="gramStart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3.3.90.30.00.00.00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proofErr w:type="gramEnd"/>
      <w:r w:rsidR="00AF702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MATERIAL DE CONSUMO                                                                                       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2228    </w:t>
      </w:r>
      <w:proofErr w:type="gramStart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>Fonte....</w:t>
      </w:r>
      <w:proofErr w:type="gramEnd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:    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="00AF702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1 TESOURO                                                                                            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Aplicação: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="00AF702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>220.0000 ENSINO FUNDAMENTAL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Valor: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="00AF702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>R$ 28.000,00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3.3.90.39.00.00.00 </w:t>
      </w:r>
      <w:r w:rsidR="00AF702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="00AF702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OUTROS SERVIÇOS DE TERCEIROS - PESSOA JURIDICA                                                                  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2254    </w:t>
      </w:r>
      <w:proofErr w:type="gramStart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>Fonte....</w:t>
      </w:r>
      <w:proofErr w:type="gramEnd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:   </w:t>
      </w:r>
      <w:r w:rsidR="00AF702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="00AF702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1 TESOURO                                                                                            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Aplicação: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 xml:space="preserve">       </w:t>
      </w:r>
      <w:r w:rsidR="00AF702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="00AF702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>220.0000 ENSINO FUNDAMENTAL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Valor: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 xml:space="preserve">       </w:t>
      </w:r>
      <w:r w:rsidR="00AF702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="00AF702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>R$ 5.000,00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lastRenderedPageBreak/>
        <w:t xml:space="preserve">154510027.2.057000 </w:t>
      </w:r>
      <w:r w:rsidR="00AF702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="00AF702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MANUTENÇÃO DOS SERVIÇOS VIARIOS       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proofErr w:type="gramStart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3.1.90.16.00.00.00  </w:t>
      </w:r>
      <w:r w:rsidR="00AF702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proofErr w:type="gramEnd"/>
      <w:r w:rsidR="00AF702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OUTRAS DESPESAS VARIÁVEIS - PESSOAL CIVIL                                                                  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2645    </w:t>
      </w:r>
      <w:proofErr w:type="gramStart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>Fonte....</w:t>
      </w:r>
      <w:proofErr w:type="gramEnd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:     </w:t>
      </w:r>
      <w:r w:rsidR="00AF702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="00AF702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1 TESOURO                                                                                            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Aplicação: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 xml:space="preserve">      </w:t>
      </w:r>
      <w:r w:rsidR="00AF702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="00AF702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110.0000 GERAL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Valor: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 xml:space="preserve">      </w:t>
      </w:r>
      <w:r w:rsidR="00AF702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="00AF702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>R$ 5.000,00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154520027.2.054000 </w:t>
      </w:r>
      <w:r w:rsidR="00AF702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="00AF702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MANUTENÇÃO DA LIMPEZA PUBLICA 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proofErr w:type="gramStart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3.1.90.16.00.00.00  </w:t>
      </w:r>
      <w:r w:rsidR="00AF702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proofErr w:type="gramEnd"/>
      <w:r w:rsidR="00AF702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OUTRAS DESPESAS VARIÁVEIS - PESSOAL CIVIL                                                                  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2827    </w:t>
      </w:r>
      <w:proofErr w:type="gramStart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>Fonte....</w:t>
      </w:r>
      <w:proofErr w:type="gramEnd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:      </w:t>
      </w:r>
      <w:r w:rsidR="00AF702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="00AF702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1 TESOURO                                                                                            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Aplicação: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 xml:space="preserve">        </w:t>
      </w:r>
      <w:r w:rsidR="00AF702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="00AF702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110.0000 GERAL 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Valor:                      </w:t>
      </w:r>
      <w:r w:rsidR="00AF702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="00AF702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>R$ 4.000,00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278120023.2.051000 </w:t>
      </w:r>
      <w:r w:rsidR="00AF702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="00AF702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>MANUTENÇÃO DOS DESPORTOS E LAZER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proofErr w:type="gramStart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3.3.90.30.00.00.00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proofErr w:type="gramEnd"/>
      <w:r w:rsidR="00AF702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MATERIAL DE CONSUMO                                                                                       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3096    </w:t>
      </w:r>
      <w:proofErr w:type="gramStart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>Fonte....</w:t>
      </w:r>
      <w:proofErr w:type="gramEnd"/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:    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="00AF702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1 TESOURO                                                                                            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Aplicação: 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="00AF702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110.0000 GERAL            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Valor: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>R$ 4.000,00</w:t>
      </w: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</w:p>
    <w:p w:rsidR="002D1C63" w:rsidRPr="000C15FC" w:rsidRDefault="002D1C63" w:rsidP="002D1C63">
      <w:pPr>
        <w:pStyle w:val="Ttulo"/>
        <w:spacing w:line="360" w:lineRule="auto"/>
        <w:jc w:val="both"/>
        <w:rPr>
          <w:rFonts w:asciiTheme="majorHAnsi" w:hAnsiTheme="majorHAnsi" w:cstheme="majorHAnsi"/>
          <w:b w:val="0"/>
          <w:bCs w:val="0"/>
          <w:color w:val="FF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Total das suplementações: 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ab/>
        <w:t>R$ 791.000,00</w:t>
      </w:r>
    </w:p>
    <w:p w:rsidR="002D1C63" w:rsidRPr="000C15FC" w:rsidRDefault="002D1C63" w:rsidP="002D1C63">
      <w:pPr>
        <w:pStyle w:val="Ttulo"/>
        <w:spacing w:line="360" w:lineRule="auto"/>
        <w:ind w:firstLine="1418"/>
        <w:jc w:val="both"/>
        <w:rPr>
          <w:rFonts w:asciiTheme="majorHAnsi" w:hAnsiTheme="majorHAnsi" w:cstheme="majorHAnsi"/>
          <w:bCs w:val="0"/>
          <w:color w:val="FF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Cs w:val="0"/>
          <w:color w:val="FF0000"/>
          <w:sz w:val="22"/>
          <w:szCs w:val="22"/>
          <w:u w:val="none"/>
        </w:rPr>
        <w:t xml:space="preserve"> </w:t>
      </w:r>
    </w:p>
    <w:p w:rsidR="002D1C63" w:rsidRPr="000C15FC" w:rsidRDefault="002D1C63" w:rsidP="002D1C63">
      <w:pPr>
        <w:pStyle w:val="Ttulo"/>
        <w:spacing w:line="360" w:lineRule="auto"/>
        <w:ind w:firstLine="1418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color w:val="000000"/>
          <w:sz w:val="22"/>
          <w:szCs w:val="22"/>
          <w:u w:val="none"/>
        </w:rPr>
        <w:t>Art</w:t>
      </w:r>
      <w:r w:rsidR="00AF702C">
        <w:rPr>
          <w:rFonts w:asciiTheme="majorHAnsi" w:hAnsiTheme="majorHAnsi" w:cstheme="majorHAnsi"/>
          <w:color w:val="000000"/>
          <w:sz w:val="22"/>
          <w:szCs w:val="22"/>
          <w:u w:val="none"/>
        </w:rPr>
        <w:t>.</w:t>
      </w:r>
      <w:r w:rsidRPr="000C15FC">
        <w:rPr>
          <w:rFonts w:asciiTheme="majorHAnsi" w:hAnsiTheme="majorHAnsi" w:cstheme="majorHAnsi"/>
          <w:color w:val="000000"/>
          <w:sz w:val="22"/>
          <w:szCs w:val="22"/>
          <w:u w:val="none"/>
        </w:rPr>
        <w:t xml:space="preserve"> 2º</w:t>
      </w:r>
      <w:r w:rsidRPr="000C15FC"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  <w:t xml:space="preserve"> - O Crédito adicional suplementar autorizado pelo artigo 1º terá como R$ 791.000,00 (setecentos e noventa e um mil reais) provenientes de excesso de arrecadação de acordo com o Artigo 43, § 1º, Inciso II da Lei 4.320/64 de 17/03/64 a verificar-se no presente exercício.</w:t>
      </w:r>
    </w:p>
    <w:p w:rsidR="002D1C63" w:rsidRPr="000C15FC" w:rsidRDefault="002D1C63" w:rsidP="002D1C63">
      <w:pPr>
        <w:pStyle w:val="Ttulo"/>
        <w:spacing w:line="360" w:lineRule="auto"/>
        <w:ind w:firstLine="1418"/>
        <w:jc w:val="both"/>
        <w:rPr>
          <w:rFonts w:asciiTheme="majorHAnsi" w:hAnsiTheme="majorHAnsi" w:cstheme="majorHAnsi"/>
          <w:b w:val="0"/>
          <w:bCs w:val="0"/>
          <w:color w:val="00000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bCs w:val="0"/>
          <w:color w:val="000000"/>
          <w:sz w:val="22"/>
          <w:szCs w:val="22"/>
        </w:rPr>
        <w:t xml:space="preserve">                                                                         </w:t>
      </w:r>
    </w:p>
    <w:p w:rsidR="002D1C63" w:rsidRPr="000C15FC" w:rsidRDefault="002D1C63" w:rsidP="002D1C63">
      <w:pPr>
        <w:pStyle w:val="Ttulo"/>
        <w:spacing w:line="360" w:lineRule="auto"/>
        <w:ind w:firstLine="1418"/>
        <w:jc w:val="both"/>
        <w:rPr>
          <w:rFonts w:asciiTheme="majorHAnsi" w:hAnsiTheme="majorHAnsi" w:cstheme="majorHAnsi"/>
          <w:b w:val="0"/>
          <w:bCs w:val="0"/>
          <w:sz w:val="22"/>
          <w:szCs w:val="22"/>
          <w:u w:val="none"/>
        </w:rPr>
      </w:pPr>
      <w:r w:rsidRPr="000C15FC">
        <w:rPr>
          <w:rFonts w:asciiTheme="majorHAnsi" w:hAnsiTheme="majorHAnsi" w:cstheme="majorHAnsi"/>
          <w:sz w:val="22"/>
          <w:szCs w:val="22"/>
          <w:u w:val="none"/>
        </w:rPr>
        <w:t>Art</w:t>
      </w:r>
      <w:r w:rsidR="00AF702C">
        <w:rPr>
          <w:rFonts w:asciiTheme="majorHAnsi" w:hAnsiTheme="majorHAnsi" w:cstheme="majorHAnsi"/>
          <w:sz w:val="22"/>
          <w:szCs w:val="22"/>
          <w:u w:val="none"/>
        </w:rPr>
        <w:t>.</w:t>
      </w:r>
      <w:r w:rsidRPr="000C15FC">
        <w:rPr>
          <w:rFonts w:asciiTheme="majorHAnsi" w:hAnsiTheme="majorHAnsi" w:cstheme="majorHAnsi"/>
          <w:sz w:val="22"/>
          <w:szCs w:val="22"/>
          <w:u w:val="none"/>
        </w:rPr>
        <w:t xml:space="preserve"> 3º</w:t>
      </w:r>
      <w:r w:rsidRPr="000C15FC">
        <w:rPr>
          <w:rFonts w:asciiTheme="majorHAnsi" w:hAnsiTheme="majorHAnsi" w:cstheme="majorHAnsi"/>
          <w:b w:val="0"/>
          <w:bCs w:val="0"/>
          <w:sz w:val="22"/>
          <w:szCs w:val="22"/>
          <w:u w:val="none"/>
        </w:rPr>
        <w:t xml:space="preserve"> - Esta lei entrará em vigor na data de sua publicação.</w:t>
      </w:r>
    </w:p>
    <w:p w:rsidR="002D1C63" w:rsidRPr="000C15FC" w:rsidRDefault="002D1C63" w:rsidP="002D1C63">
      <w:pPr>
        <w:pStyle w:val="Ttulo"/>
        <w:spacing w:line="360" w:lineRule="auto"/>
        <w:ind w:firstLine="1418"/>
        <w:jc w:val="both"/>
        <w:rPr>
          <w:rFonts w:asciiTheme="majorHAnsi" w:hAnsiTheme="majorHAnsi" w:cstheme="majorHAnsi"/>
          <w:b w:val="0"/>
          <w:bCs w:val="0"/>
          <w:sz w:val="22"/>
          <w:szCs w:val="22"/>
          <w:u w:val="none"/>
        </w:rPr>
      </w:pPr>
    </w:p>
    <w:p w:rsidR="002D1C63" w:rsidRPr="000C15FC" w:rsidRDefault="00AF702C" w:rsidP="002D1C63">
      <w:pPr>
        <w:pStyle w:val="Ttulo"/>
        <w:spacing w:line="360" w:lineRule="auto"/>
        <w:ind w:firstLine="1418"/>
        <w:jc w:val="both"/>
        <w:rPr>
          <w:rFonts w:asciiTheme="majorHAnsi" w:hAnsiTheme="majorHAnsi" w:cstheme="majorHAnsi"/>
          <w:b w:val="0"/>
          <w:bCs w:val="0"/>
          <w:sz w:val="22"/>
          <w:szCs w:val="22"/>
          <w:u w:val="none"/>
        </w:rPr>
      </w:pPr>
      <w:r>
        <w:rPr>
          <w:rFonts w:asciiTheme="majorHAnsi" w:hAnsiTheme="majorHAnsi" w:cstheme="majorHAnsi"/>
          <w:sz w:val="22"/>
          <w:szCs w:val="22"/>
          <w:u w:val="none"/>
        </w:rPr>
        <w:t>Art.</w:t>
      </w:r>
      <w:r w:rsidR="002D1C63" w:rsidRPr="000C15FC">
        <w:rPr>
          <w:rFonts w:asciiTheme="majorHAnsi" w:hAnsiTheme="majorHAnsi" w:cstheme="majorHAnsi"/>
          <w:sz w:val="22"/>
          <w:szCs w:val="22"/>
          <w:u w:val="none"/>
        </w:rPr>
        <w:t xml:space="preserve"> 4º</w:t>
      </w:r>
      <w:r w:rsidR="002D1C63" w:rsidRPr="000C15FC">
        <w:rPr>
          <w:rFonts w:asciiTheme="majorHAnsi" w:hAnsiTheme="majorHAnsi" w:cstheme="majorHAnsi"/>
          <w:b w:val="0"/>
          <w:bCs w:val="0"/>
          <w:sz w:val="22"/>
          <w:szCs w:val="22"/>
          <w:u w:val="none"/>
        </w:rPr>
        <w:t xml:space="preserve"> - Revogadas as disposições em contrário.</w:t>
      </w:r>
    </w:p>
    <w:p w:rsidR="002D1C63" w:rsidRPr="000C15FC" w:rsidRDefault="002D1C63" w:rsidP="002D1C63">
      <w:pPr>
        <w:pStyle w:val="Ttulo"/>
        <w:spacing w:line="320" w:lineRule="atLeast"/>
        <w:ind w:firstLine="1701"/>
        <w:jc w:val="both"/>
        <w:rPr>
          <w:rFonts w:asciiTheme="majorHAnsi" w:hAnsiTheme="majorHAnsi" w:cstheme="majorHAnsi"/>
          <w:b w:val="0"/>
          <w:bCs w:val="0"/>
          <w:sz w:val="22"/>
          <w:szCs w:val="22"/>
          <w:u w:val="none"/>
        </w:rPr>
      </w:pPr>
    </w:p>
    <w:p w:rsidR="002D1C63" w:rsidRPr="000C15FC" w:rsidRDefault="002D1C63" w:rsidP="002D1C63">
      <w:pPr>
        <w:ind w:firstLine="1418"/>
        <w:jc w:val="both"/>
        <w:rPr>
          <w:rFonts w:asciiTheme="majorHAnsi" w:hAnsiTheme="majorHAnsi" w:cstheme="majorHAnsi"/>
        </w:rPr>
      </w:pPr>
      <w:r w:rsidRPr="000C15FC">
        <w:rPr>
          <w:rFonts w:asciiTheme="majorHAnsi" w:hAnsiTheme="majorHAnsi" w:cstheme="majorHAnsi"/>
        </w:rPr>
        <w:t xml:space="preserve">Sala das Sessões da Câmara Municipal de Platina, Plenário “Vereador Ataliba Nogueira de Souza”, </w:t>
      </w:r>
      <w:r w:rsidR="00AF702C">
        <w:rPr>
          <w:rFonts w:asciiTheme="majorHAnsi" w:hAnsiTheme="majorHAnsi" w:cstheme="majorHAnsi"/>
        </w:rPr>
        <w:t>31 de outubro de</w:t>
      </w:r>
      <w:r w:rsidRPr="000C15FC">
        <w:rPr>
          <w:rFonts w:asciiTheme="majorHAnsi" w:hAnsiTheme="majorHAnsi" w:cstheme="majorHAnsi"/>
        </w:rPr>
        <w:t xml:space="preserve"> 2022.</w:t>
      </w:r>
    </w:p>
    <w:p w:rsidR="002D1C63" w:rsidRPr="000C15FC" w:rsidRDefault="002D1C63" w:rsidP="002D1C63">
      <w:pPr>
        <w:spacing w:after="0" w:line="240" w:lineRule="auto"/>
        <w:ind w:firstLine="1418"/>
        <w:jc w:val="both"/>
        <w:rPr>
          <w:rFonts w:asciiTheme="majorHAnsi" w:hAnsiTheme="majorHAnsi" w:cstheme="majorHAnsi"/>
        </w:rPr>
      </w:pPr>
    </w:p>
    <w:p w:rsidR="002D1C63" w:rsidRPr="000C15FC" w:rsidRDefault="002D1C63" w:rsidP="002D1C63">
      <w:pPr>
        <w:spacing w:after="0" w:line="240" w:lineRule="auto"/>
        <w:jc w:val="center"/>
        <w:rPr>
          <w:rFonts w:asciiTheme="majorHAnsi" w:hAnsiTheme="majorHAnsi" w:cstheme="majorHAnsi"/>
        </w:rPr>
      </w:pPr>
    </w:p>
    <w:p w:rsidR="002D1C63" w:rsidRPr="000C15FC" w:rsidRDefault="002D1C63" w:rsidP="002D1C63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0C15FC">
        <w:rPr>
          <w:rFonts w:asciiTheme="majorHAnsi" w:hAnsiTheme="majorHAnsi" w:cstheme="majorHAnsi"/>
          <w:b/>
        </w:rPr>
        <w:t>EDMÉIA MARIA SEGATELLI</w:t>
      </w:r>
    </w:p>
    <w:p w:rsidR="002D1C63" w:rsidRPr="000C15FC" w:rsidRDefault="002D1C63" w:rsidP="002D1C63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0C15FC">
        <w:rPr>
          <w:rFonts w:asciiTheme="majorHAnsi" w:hAnsiTheme="majorHAnsi" w:cstheme="majorHAnsi"/>
          <w:b/>
        </w:rPr>
        <w:t>PRESIDENTE</w:t>
      </w:r>
    </w:p>
    <w:p w:rsidR="002D1C63" w:rsidRPr="000C15FC" w:rsidRDefault="002D1C63" w:rsidP="002D1C63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:rsidR="002D1C63" w:rsidRPr="000C15FC" w:rsidRDefault="002D1C63" w:rsidP="002D1C63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:rsidR="002D1C63" w:rsidRDefault="002D1C63" w:rsidP="002D1C63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:rsidR="00AF702C" w:rsidRDefault="00AF702C" w:rsidP="002D1C63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:rsidR="00AF702C" w:rsidRPr="000C15FC" w:rsidRDefault="00AF702C" w:rsidP="002D1C63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bookmarkStart w:id="0" w:name="_GoBack"/>
      <w:bookmarkEnd w:id="0"/>
    </w:p>
    <w:p w:rsidR="002D1C63" w:rsidRPr="000C15FC" w:rsidRDefault="002D1C63" w:rsidP="002D1C63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:rsidR="002D1C63" w:rsidRPr="000C15FC" w:rsidRDefault="002D1C63" w:rsidP="002D1C63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0C15FC">
        <w:rPr>
          <w:rFonts w:asciiTheme="majorHAnsi" w:hAnsiTheme="majorHAnsi" w:cstheme="majorHAnsi"/>
          <w:b/>
        </w:rPr>
        <w:t>CLAUDINIR LADEIRA DE OLIVEIRA</w:t>
      </w:r>
    </w:p>
    <w:p w:rsidR="002D1C63" w:rsidRPr="000C15FC" w:rsidRDefault="002D1C63" w:rsidP="002D1C63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0C15FC">
        <w:rPr>
          <w:rFonts w:asciiTheme="majorHAnsi" w:hAnsiTheme="majorHAnsi" w:cstheme="majorHAnsi"/>
          <w:b/>
        </w:rPr>
        <w:t>1ª SECRETÁRIA</w:t>
      </w:r>
    </w:p>
    <w:p w:rsidR="002D1C63" w:rsidRPr="000C15FC" w:rsidRDefault="002D1C63" w:rsidP="002D1C63">
      <w:pPr>
        <w:rPr>
          <w:rFonts w:asciiTheme="majorHAnsi" w:hAnsiTheme="majorHAnsi" w:cstheme="majorHAnsi"/>
        </w:rPr>
      </w:pPr>
    </w:p>
    <w:p w:rsidR="002D1C63" w:rsidRPr="000C15FC" w:rsidRDefault="002D1C63" w:rsidP="002D1C63">
      <w:pPr>
        <w:rPr>
          <w:rFonts w:asciiTheme="majorHAnsi" w:hAnsiTheme="majorHAnsi" w:cstheme="majorHAnsi"/>
        </w:rPr>
      </w:pPr>
    </w:p>
    <w:p w:rsidR="00151D01" w:rsidRPr="000C15FC" w:rsidRDefault="00151D01">
      <w:pPr>
        <w:rPr>
          <w:rFonts w:asciiTheme="majorHAnsi" w:hAnsiTheme="majorHAnsi" w:cstheme="majorHAnsi"/>
        </w:rPr>
      </w:pPr>
    </w:p>
    <w:sectPr w:rsidR="00151D01" w:rsidRPr="000C15FC" w:rsidSect="00C040A4">
      <w:footerReference w:type="even" r:id="rId4"/>
      <w:footerReference w:type="default" r:id="rId5"/>
      <w:pgSz w:w="11907" w:h="16840" w:code="9"/>
      <w:pgMar w:top="3572" w:right="96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D77" w:rsidRDefault="00AF702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85D77" w:rsidRDefault="00AF702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D77" w:rsidRDefault="00AF702C">
    <w:pPr>
      <w:pStyle w:val="Rodap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C63"/>
    <w:rsid w:val="000C15FC"/>
    <w:rsid w:val="00151D01"/>
    <w:rsid w:val="002D1C63"/>
    <w:rsid w:val="00A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54836-4883-4587-890D-8CA808A7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2D1C6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2D1C6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2D1C63"/>
  </w:style>
  <w:style w:type="paragraph" w:styleId="Ttulo">
    <w:name w:val="Title"/>
    <w:basedOn w:val="Normal"/>
    <w:link w:val="TtuloChar"/>
    <w:qFormat/>
    <w:rsid w:val="002D1C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2D1C63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1891</Words>
  <Characters>10216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Lima</dc:creator>
  <cp:keywords/>
  <dc:description/>
  <cp:lastModifiedBy>Fernanda Lima</cp:lastModifiedBy>
  <cp:revision>2</cp:revision>
  <dcterms:created xsi:type="dcterms:W3CDTF">2022-11-01T11:43:00Z</dcterms:created>
  <dcterms:modified xsi:type="dcterms:W3CDTF">2022-11-01T11:58:00Z</dcterms:modified>
</cp:coreProperties>
</file>