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3D290B" w:rsidTr="003D290B">
        <w:tc>
          <w:tcPr>
            <w:tcW w:w="3794" w:type="dxa"/>
            <w:shd w:val="clear" w:color="auto" w:fill="E36C0A" w:themeFill="accent6" w:themeFillShade="BF"/>
          </w:tcPr>
          <w:p w:rsidR="003D290B" w:rsidRDefault="003D290B" w:rsidP="002F67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Expediente </w:t>
            </w:r>
            <w:r w:rsidR="002F6724">
              <w:rPr>
                <w:rFonts w:ascii="Century Gothic" w:hAnsi="Century Gothic"/>
                <w:sz w:val="24"/>
                <w:szCs w:val="24"/>
              </w:rPr>
              <w:t>1539</w:t>
            </w:r>
            <w:r>
              <w:rPr>
                <w:rFonts w:ascii="Century Gothic" w:hAnsi="Century Gothic"/>
                <w:sz w:val="24"/>
                <w:szCs w:val="24"/>
              </w:rPr>
              <w:t>/2021</w:t>
            </w:r>
          </w:p>
        </w:tc>
        <w:tc>
          <w:tcPr>
            <w:tcW w:w="4819" w:type="dxa"/>
            <w:shd w:val="clear" w:color="auto" w:fill="E36C0A" w:themeFill="accent6" w:themeFillShade="BF"/>
          </w:tcPr>
          <w:p w:rsidR="003D290B" w:rsidRDefault="003D290B" w:rsidP="002F6724">
            <w:pPr>
              <w:rPr>
                <w:rFonts w:ascii="Century Gothic" w:hAnsi="Century Gothic"/>
                <w:sz w:val="24"/>
                <w:szCs w:val="24"/>
              </w:rPr>
            </w:pPr>
            <w:r w:rsidRPr="002C1EEC">
              <w:rPr>
                <w:rFonts w:ascii="Century Gothic" w:hAnsi="Century Gothic"/>
                <w:sz w:val="24"/>
                <w:szCs w:val="24"/>
              </w:rPr>
              <w:t>Projeto de Lei de Vereador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2F6724">
              <w:rPr>
                <w:rFonts w:ascii="Century Gothic" w:hAnsi="Century Gothic"/>
                <w:sz w:val="24"/>
                <w:szCs w:val="24"/>
              </w:rPr>
              <w:t>184</w:t>
            </w:r>
            <w:r>
              <w:rPr>
                <w:rFonts w:ascii="Century Gothic" w:hAnsi="Century Gothic"/>
                <w:sz w:val="24"/>
                <w:szCs w:val="24"/>
              </w:rPr>
              <w:t>/2021</w:t>
            </w:r>
          </w:p>
        </w:tc>
      </w:tr>
    </w:tbl>
    <w:p w:rsidR="00E02156" w:rsidRDefault="00E02156">
      <w:pPr>
        <w:rPr>
          <w:rFonts w:ascii="Century Gothic" w:hAnsi="Century Gothic"/>
          <w:sz w:val="24"/>
          <w:szCs w:val="24"/>
        </w:rPr>
      </w:pPr>
    </w:p>
    <w:p w:rsidR="002E0222" w:rsidRDefault="002E0222">
      <w:pPr>
        <w:rPr>
          <w:rFonts w:ascii="Century Gothic" w:hAnsi="Century Gothic"/>
          <w:sz w:val="24"/>
          <w:szCs w:val="24"/>
        </w:rPr>
      </w:pPr>
    </w:p>
    <w:p w:rsidR="008D7A21" w:rsidRPr="008D7A21" w:rsidRDefault="008D7A21" w:rsidP="00B93CD9">
      <w:pPr>
        <w:shd w:val="clear" w:color="auto" w:fill="95B3D7" w:themeFill="accent1" w:themeFillTint="99"/>
        <w:jc w:val="center"/>
        <w:rPr>
          <w:rFonts w:ascii="Century Gothic" w:hAnsi="Century Gothic"/>
          <w:b/>
          <w:sz w:val="24"/>
          <w:szCs w:val="24"/>
        </w:rPr>
      </w:pPr>
      <w:r w:rsidRPr="008D7A21">
        <w:rPr>
          <w:rFonts w:ascii="Century Gothic" w:hAnsi="Century Gothic"/>
          <w:b/>
          <w:sz w:val="24"/>
          <w:szCs w:val="24"/>
        </w:rPr>
        <w:t xml:space="preserve">PARECER 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8D7A21">
        <w:rPr>
          <w:rFonts w:ascii="Century Gothic" w:hAnsi="Century Gothic"/>
          <w:b/>
          <w:sz w:val="24"/>
          <w:szCs w:val="24"/>
        </w:rPr>
        <w:t>JURÍDICO</w:t>
      </w:r>
    </w:p>
    <w:p w:rsidR="008D7A21" w:rsidRDefault="008D7A21">
      <w:pPr>
        <w:rPr>
          <w:rFonts w:ascii="Century Gothic" w:hAnsi="Century Gothic"/>
          <w:sz w:val="24"/>
          <w:szCs w:val="24"/>
        </w:rPr>
      </w:pPr>
    </w:p>
    <w:p w:rsidR="0078461F" w:rsidRDefault="0078461F" w:rsidP="0078461F">
      <w:pPr>
        <w:shd w:val="clear" w:color="auto" w:fill="17365D" w:themeFill="text2" w:themeFillShade="B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REFERÊNCIAS LEGISLATIVAS:</w:t>
      </w:r>
    </w:p>
    <w:p w:rsidR="0055456B" w:rsidRDefault="0055456B" w:rsidP="00095446">
      <w:pPr>
        <w:spacing w:line="240" w:lineRule="auto"/>
        <w:ind w:left="1701"/>
        <w:rPr>
          <w:rFonts w:ascii="Century Gothic" w:hAnsi="Century Gothic"/>
          <w:sz w:val="24"/>
          <w:szCs w:val="24"/>
        </w:rPr>
      </w:pPr>
    </w:p>
    <w:p w:rsidR="002F0AF8" w:rsidRDefault="0078461F" w:rsidP="001B401D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 w:rsidRPr="0078461F">
        <w:rPr>
          <w:rFonts w:ascii="Century Gothic" w:hAnsi="Century Gothic"/>
          <w:sz w:val="24"/>
          <w:szCs w:val="24"/>
        </w:rPr>
        <w:t xml:space="preserve">Constituição Federal:  </w:t>
      </w:r>
      <w:r w:rsidR="00835DBD">
        <w:rPr>
          <w:rFonts w:ascii="Century Gothic" w:hAnsi="Century Gothic"/>
          <w:sz w:val="24"/>
          <w:szCs w:val="24"/>
        </w:rPr>
        <w:t xml:space="preserve">art. 23, inc. II, </w:t>
      </w:r>
      <w:r w:rsidR="00855F6B">
        <w:rPr>
          <w:rFonts w:ascii="Century Gothic" w:hAnsi="Century Gothic"/>
          <w:sz w:val="24"/>
          <w:szCs w:val="24"/>
        </w:rPr>
        <w:t>art. 3</w:t>
      </w:r>
      <w:r w:rsidR="00835DBD">
        <w:rPr>
          <w:rFonts w:ascii="Century Gothic" w:hAnsi="Century Gothic"/>
          <w:sz w:val="24"/>
          <w:szCs w:val="24"/>
        </w:rPr>
        <w:t>0,</w:t>
      </w:r>
      <w:r w:rsidR="00855F6B">
        <w:rPr>
          <w:rFonts w:ascii="Century Gothic" w:hAnsi="Century Gothic"/>
          <w:sz w:val="24"/>
          <w:szCs w:val="24"/>
        </w:rPr>
        <w:t xml:space="preserve"> </w:t>
      </w:r>
      <w:r w:rsidR="009940DA">
        <w:rPr>
          <w:rFonts w:ascii="Century Gothic" w:hAnsi="Century Gothic"/>
          <w:sz w:val="24"/>
          <w:szCs w:val="24"/>
        </w:rPr>
        <w:t xml:space="preserve"> inc. I</w:t>
      </w:r>
      <w:r w:rsidR="00834716">
        <w:rPr>
          <w:rFonts w:ascii="Century Gothic" w:hAnsi="Century Gothic"/>
          <w:sz w:val="24"/>
          <w:szCs w:val="24"/>
        </w:rPr>
        <w:t>;</w:t>
      </w:r>
      <w:r w:rsidR="00C35CF5">
        <w:rPr>
          <w:rFonts w:ascii="Century Gothic" w:hAnsi="Century Gothic"/>
          <w:sz w:val="24"/>
          <w:szCs w:val="24"/>
        </w:rPr>
        <w:t xml:space="preserve"> </w:t>
      </w:r>
    </w:p>
    <w:p w:rsidR="0078461F" w:rsidRDefault="0078461F" w:rsidP="001B401D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  <w:r w:rsidRPr="0078461F">
        <w:rPr>
          <w:rFonts w:ascii="Century Gothic" w:hAnsi="Century Gothic"/>
          <w:sz w:val="24"/>
          <w:szCs w:val="24"/>
        </w:rPr>
        <w:t>Lei Orgânica</w:t>
      </w:r>
      <w:r w:rsidR="002E0222">
        <w:rPr>
          <w:rFonts w:ascii="Century Gothic" w:hAnsi="Century Gothic"/>
          <w:sz w:val="24"/>
          <w:szCs w:val="24"/>
        </w:rPr>
        <w:t>:  art.</w:t>
      </w:r>
      <w:r w:rsidR="00855F6B">
        <w:rPr>
          <w:rFonts w:ascii="Century Gothic" w:hAnsi="Century Gothic"/>
          <w:sz w:val="24"/>
          <w:szCs w:val="24"/>
        </w:rPr>
        <w:t xml:space="preserve"> 11, inc. XXX, </w:t>
      </w:r>
      <w:r w:rsidR="002E0222">
        <w:rPr>
          <w:rFonts w:ascii="Century Gothic" w:hAnsi="Century Gothic"/>
          <w:sz w:val="24"/>
          <w:szCs w:val="24"/>
        </w:rPr>
        <w:t xml:space="preserve"> </w:t>
      </w:r>
      <w:r w:rsidR="00835DBD">
        <w:rPr>
          <w:rFonts w:ascii="Century Gothic" w:hAnsi="Century Gothic"/>
          <w:sz w:val="24"/>
          <w:szCs w:val="24"/>
        </w:rPr>
        <w:t>art. 12, inc. II</w:t>
      </w:r>
      <w:r w:rsidR="002F6724">
        <w:rPr>
          <w:rFonts w:ascii="Century Gothic" w:hAnsi="Century Gothic"/>
          <w:sz w:val="24"/>
          <w:szCs w:val="24"/>
        </w:rPr>
        <w:t xml:space="preserve">  e XIV, </w:t>
      </w:r>
      <w:r w:rsidR="00835DBD">
        <w:rPr>
          <w:rFonts w:ascii="Century Gothic" w:hAnsi="Century Gothic"/>
          <w:sz w:val="24"/>
          <w:szCs w:val="24"/>
        </w:rPr>
        <w:t xml:space="preserve"> </w:t>
      </w:r>
      <w:r w:rsidRPr="0078461F">
        <w:rPr>
          <w:rFonts w:ascii="Century Gothic" w:hAnsi="Century Gothic"/>
          <w:sz w:val="24"/>
          <w:szCs w:val="24"/>
        </w:rPr>
        <w:t>art</w:t>
      </w:r>
      <w:r w:rsidR="00D31B3A">
        <w:rPr>
          <w:rFonts w:ascii="Century Gothic" w:hAnsi="Century Gothic"/>
          <w:sz w:val="24"/>
          <w:szCs w:val="24"/>
        </w:rPr>
        <w:t>.</w:t>
      </w:r>
      <w:r w:rsidRPr="0078461F">
        <w:rPr>
          <w:rFonts w:ascii="Century Gothic" w:hAnsi="Century Gothic"/>
          <w:sz w:val="24"/>
          <w:szCs w:val="24"/>
        </w:rPr>
        <w:t xml:space="preserve"> </w:t>
      </w:r>
      <w:r w:rsidR="00835DBD">
        <w:rPr>
          <w:rFonts w:ascii="Century Gothic" w:hAnsi="Century Gothic"/>
          <w:sz w:val="24"/>
          <w:szCs w:val="24"/>
        </w:rPr>
        <w:t>134</w:t>
      </w:r>
      <w:r w:rsidR="00C508B0">
        <w:rPr>
          <w:rFonts w:ascii="Century Gothic" w:hAnsi="Century Gothic"/>
          <w:sz w:val="24"/>
          <w:szCs w:val="24"/>
        </w:rPr>
        <w:t>;</w:t>
      </w:r>
    </w:p>
    <w:p w:rsidR="0055456B" w:rsidRPr="00834716" w:rsidRDefault="0055456B" w:rsidP="001B401D">
      <w:pPr>
        <w:spacing w:line="240" w:lineRule="auto"/>
        <w:ind w:left="170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Regimento Interno:  Artigos 14, inc. III,  85, 136 e 144.</w:t>
      </w:r>
    </w:p>
    <w:p w:rsidR="00095446" w:rsidRDefault="00095446" w:rsidP="00095446">
      <w:pPr>
        <w:spacing w:line="240" w:lineRule="auto"/>
        <w:ind w:left="1701"/>
        <w:jc w:val="both"/>
        <w:rPr>
          <w:rFonts w:ascii="Century Gothic" w:hAnsi="Century Gothic"/>
          <w:sz w:val="24"/>
          <w:szCs w:val="24"/>
        </w:rPr>
      </w:pPr>
    </w:p>
    <w:p w:rsidR="0078461F" w:rsidRDefault="003D290B" w:rsidP="0078461F">
      <w:pPr>
        <w:shd w:val="clear" w:color="auto" w:fill="17365D" w:themeFill="text2" w:themeFillShade="B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OBJETO DO </w:t>
      </w:r>
      <w:r w:rsidR="0078461F">
        <w:rPr>
          <w:rFonts w:ascii="Century Gothic" w:hAnsi="Century Gothic"/>
          <w:sz w:val="24"/>
          <w:szCs w:val="24"/>
        </w:rPr>
        <w:t xml:space="preserve"> PROJETO </w:t>
      </w:r>
      <w:r>
        <w:rPr>
          <w:rFonts w:ascii="Century Gothic" w:hAnsi="Century Gothic"/>
          <w:sz w:val="24"/>
          <w:szCs w:val="24"/>
        </w:rPr>
        <w:t>DE LEI</w:t>
      </w:r>
      <w:r w:rsidR="0078461F">
        <w:rPr>
          <w:rFonts w:ascii="Century Gothic" w:hAnsi="Century Gothic"/>
          <w:sz w:val="24"/>
          <w:szCs w:val="24"/>
        </w:rPr>
        <w:t>:</w:t>
      </w:r>
    </w:p>
    <w:p w:rsidR="0078461F" w:rsidRDefault="0078461F">
      <w:pPr>
        <w:rPr>
          <w:rFonts w:ascii="Century Gothic" w:hAnsi="Century Gothic"/>
          <w:sz w:val="24"/>
          <w:szCs w:val="24"/>
        </w:rPr>
      </w:pPr>
    </w:p>
    <w:p w:rsidR="002F6724" w:rsidRDefault="00835DBD" w:rsidP="00855F6B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projeto se situa na área da saúde, assistência pública, segurança, proteção e garantia das pessoas com deficiência,  </w:t>
      </w:r>
      <w:r w:rsidR="002F6724">
        <w:rPr>
          <w:rFonts w:ascii="Century Gothic" w:hAnsi="Century Gothic"/>
          <w:sz w:val="24"/>
          <w:szCs w:val="24"/>
        </w:rPr>
        <w:t>e fundamentalmente sobre matéria atinente a defesa do consumidor.</w:t>
      </w:r>
    </w:p>
    <w:p w:rsidR="00855F6B" w:rsidRDefault="002F6724" w:rsidP="00855F6B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Vejamos:</w:t>
      </w:r>
      <w:r w:rsidR="00835DBD">
        <w:rPr>
          <w:rFonts w:ascii="Century Gothic" w:hAnsi="Century Gothic"/>
          <w:sz w:val="24"/>
          <w:szCs w:val="24"/>
        </w:rPr>
        <w:t xml:space="preserve"> </w:t>
      </w:r>
    </w:p>
    <w:p w:rsidR="002F6724" w:rsidRPr="002F6724" w:rsidRDefault="002F6724" w:rsidP="002F6724">
      <w:pPr>
        <w:spacing w:line="240" w:lineRule="auto"/>
        <w:ind w:left="1701"/>
        <w:jc w:val="both"/>
        <w:rPr>
          <w:rFonts w:ascii="Century Gothic" w:hAnsi="Century Gothic"/>
          <w:i/>
          <w:sz w:val="24"/>
          <w:szCs w:val="24"/>
        </w:rPr>
      </w:pPr>
      <w:r w:rsidRPr="002F6724">
        <w:rPr>
          <w:rFonts w:ascii="Century Gothic" w:hAnsi="Century Gothic"/>
          <w:i/>
          <w:sz w:val="24"/>
          <w:szCs w:val="24"/>
        </w:rPr>
        <w:t>Estabelece a disponibilidade de existência de uma cadeira de rodas nas Agências Bancárias do Município de São Leopoldo e dá outras providências.</w:t>
      </w:r>
    </w:p>
    <w:p w:rsidR="002F6724" w:rsidRPr="002F6724" w:rsidRDefault="002F6724" w:rsidP="002F6724">
      <w:pPr>
        <w:spacing w:line="240" w:lineRule="auto"/>
        <w:ind w:left="1701"/>
        <w:jc w:val="both"/>
        <w:rPr>
          <w:rFonts w:ascii="Century Gothic" w:hAnsi="Century Gothic"/>
          <w:i/>
          <w:sz w:val="24"/>
          <w:szCs w:val="24"/>
        </w:rPr>
      </w:pPr>
      <w:r w:rsidRPr="002F6724">
        <w:rPr>
          <w:rFonts w:ascii="Century Gothic" w:hAnsi="Century Gothic"/>
          <w:i/>
          <w:sz w:val="24"/>
          <w:szCs w:val="24"/>
        </w:rPr>
        <w:t>Art. 1.º Fica estabelecido que todas as Agências Bancárias do Município de São Leopoldo, tenham no mínimo, uma cadeira de rodas, destinada a pessoas portadoras de necessidades especiais ou transitórias, bem como idosos que possuem dificuldades de locomoção.</w:t>
      </w:r>
    </w:p>
    <w:p w:rsidR="002F6724" w:rsidRPr="002F6724" w:rsidRDefault="002F6724" w:rsidP="002F6724">
      <w:pPr>
        <w:spacing w:line="240" w:lineRule="auto"/>
        <w:ind w:left="1701"/>
        <w:jc w:val="both"/>
        <w:rPr>
          <w:rFonts w:ascii="Century Gothic" w:hAnsi="Century Gothic"/>
          <w:i/>
          <w:sz w:val="24"/>
          <w:szCs w:val="24"/>
        </w:rPr>
      </w:pPr>
      <w:r w:rsidRPr="002F6724">
        <w:rPr>
          <w:rFonts w:ascii="Century Gothic" w:hAnsi="Century Gothic"/>
          <w:i/>
          <w:sz w:val="24"/>
          <w:szCs w:val="24"/>
        </w:rPr>
        <w:t>Art. 2.º As agências bancárias terão um prazo de 180 (cento e oitenta) dias a partir da promulgação desta lei para disponibilizarem a cadeira de rodas.</w:t>
      </w:r>
    </w:p>
    <w:p w:rsidR="002F6724" w:rsidRPr="002F6724" w:rsidRDefault="002F6724" w:rsidP="002F6724">
      <w:pPr>
        <w:spacing w:line="240" w:lineRule="auto"/>
        <w:ind w:left="1701"/>
        <w:jc w:val="both"/>
        <w:rPr>
          <w:rFonts w:ascii="Century Gothic" w:hAnsi="Century Gothic"/>
          <w:i/>
          <w:sz w:val="24"/>
          <w:szCs w:val="24"/>
        </w:rPr>
      </w:pPr>
      <w:r w:rsidRPr="002F6724">
        <w:rPr>
          <w:rFonts w:ascii="Century Gothic" w:hAnsi="Century Gothic"/>
          <w:i/>
          <w:sz w:val="24"/>
          <w:szCs w:val="24"/>
        </w:rPr>
        <w:t>Art. 3.º Esta Lei entra em vigor na data de sua publicação.</w:t>
      </w:r>
    </w:p>
    <w:p w:rsidR="00C95965" w:rsidRDefault="00C95965" w:rsidP="00C95965">
      <w:pPr>
        <w:shd w:val="clear" w:color="auto" w:fill="17365D" w:themeFill="text2" w:themeFillShade="B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DA </w:t>
      </w:r>
      <w:r w:rsidR="003C5B77">
        <w:rPr>
          <w:rFonts w:ascii="Century Gothic" w:hAnsi="Century Gothic"/>
          <w:sz w:val="24"/>
          <w:szCs w:val="24"/>
        </w:rPr>
        <w:t xml:space="preserve">COMPETÊNCIA </w:t>
      </w:r>
      <w:r w:rsidR="002E0222">
        <w:rPr>
          <w:rFonts w:ascii="Century Gothic" w:hAnsi="Century Gothic"/>
          <w:sz w:val="24"/>
          <w:szCs w:val="24"/>
        </w:rPr>
        <w:t>LOCAL</w:t>
      </w:r>
      <w:r>
        <w:rPr>
          <w:rFonts w:ascii="Century Gothic" w:hAnsi="Century Gothic"/>
          <w:sz w:val="24"/>
          <w:szCs w:val="24"/>
        </w:rPr>
        <w:t>:</w:t>
      </w:r>
    </w:p>
    <w:p w:rsidR="0055456B" w:rsidRDefault="0055456B" w:rsidP="0005198D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E611EE" w:rsidRDefault="00E611EE" w:rsidP="00E611EE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Constituição Federal institui o sistema federativo com organização político-administrativa formada pela a união indissolúvel dos Estados, Municípios e Distrito Federal.  A Constituição, entretanto,  resguarda  “autonomia” aos entes federados,  dentro dos limites estabelecidos na própria Constituição</w:t>
      </w:r>
      <w:r w:rsidR="002121CB">
        <w:rPr>
          <w:rFonts w:ascii="Century Gothic" w:hAnsi="Century Gothic"/>
          <w:sz w:val="24"/>
          <w:szCs w:val="24"/>
        </w:rPr>
        <w:t xml:space="preserve"> – o que na espécie diz com o interesse local</w:t>
      </w:r>
      <w:r>
        <w:rPr>
          <w:rFonts w:ascii="Century Gothic" w:hAnsi="Century Gothic"/>
          <w:sz w:val="24"/>
          <w:szCs w:val="24"/>
        </w:rPr>
        <w:t>.</w:t>
      </w:r>
    </w:p>
    <w:p w:rsidR="00C37FDC" w:rsidRPr="00C37FDC" w:rsidRDefault="00C37FDC" w:rsidP="00C37FDC">
      <w:pPr>
        <w:spacing w:line="360" w:lineRule="auto"/>
        <w:ind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C37FDC">
        <w:rPr>
          <w:rFonts w:ascii="Century Gothic" w:eastAsiaTheme="minorHAnsi" w:hAnsi="Century Gothic"/>
          <w:sz w:val="24"/>
          <w:szCs w:val="24"/>
          <w:lang w:eastAsia="en-US"/>
        </w:rPr>
        <w:t>Essa autonomia local se subdivide em dois âmbitos: micro</w:t>
      </w:r>
      <w:r>
        <w:rPr>
          <w:rFonts w:ascii="Century Gothic" w:eastAsiaTheme="minorHAnsi" w:hAnsi="Century Gothic"/>
          <w:sz w:val="24"/>
          <w:szCs w:val="24"/>
          <w:lang w:eastAsia="en-US"/>
        </w:rPr>
        <w:t>-</w:t>
      </w:r>
      <w:r w:rsidRPr="00C37FDC">
        <w:rPr>
          <w:rFonts w:ascii="Century Gothic" w:eastAsiaTheme="minorHAnsi" w:hAnsi="Century Gothic"/>
          <w:sz w:val="24"/>
          <w:szCs w:val="24"/>
          <w:lang w:eastAsia="en-US"/>
        </w:rPr>
        <w:t xml:space="preserve">interesse e macro-interesse.  </w:t>
      </w:r>
    </w:p>
    <w:p w:rsidR="00C37FDC" w:rsidRPr="00C37FDC" w:rsidRDefault="00C37FDC" w:rsidP="00C37FDC">
      <w:pPr>
        <w:spacing w:line="360" w:lineRule="auto"/>
        <w:ind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C37FDC">
        <w:rPr>
          <w:rFonts w:ascii="Century Gothic" w:eastAsiaTheme="minorHAnsi" w:hAnsi="Century Gothic"/>
          <w:sz w:val="24"/>
          <w:szCs w:val="24"/>
          <w:lang w:eastAsia="en-US"/>
        </w:rPr>
        <w:t>O micro-interesse é aquele que se caracteriza pela sua natureza eminentemente local,  tal como é caso em exame que versa sobre “</w:t>
      </w:r>
      <w:r>
        <w:rPr>
          <w:rFonts w:ascii="Century Gothic" w:eastAsiaTheme="minorHAnsi" w:hAnsi="Century Gothic"/>
          <w:sz w:val="24"/>
          <w:szCs w:val="24"/>
          <w:lang w:eastAsia="en-US"/>
        </w:rPr>
        <w:t>atendimento preferencial à pessoa com fibromialgia</w:t>
      </w:r>
      <w:r w:rsidRPr="00C37FDC">
        <w:rPr>
          <w:rFonts w:ascii="Century Gothic" w:eastAsiaTheme="minorHAnsi" w:hAnsi="Century Gothic"/>
          <w:sz w:val="24"/>
          <w:szCs w:val="24"/>
          <w:lang w:eastAsia="en-US"/>
        </w:rPr>
        <w:t>”.</w:t>
      </w:r>
    </w:p>
    <w:p w:rsidR="00C37FDC" w:rsidRDefault="00C37FDC" w:rsidP="00C37FDC">
      <w:pPr>
        <w:spacing w:line="360" w:lineRule="auto"/>
        <w:ind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C37FDC">
        <w:rPr>
          <w:rFonts w:ascii="Century Gothic" w:eastAsiaTheme="minorHAnsi" w:hAnsi="Century Gothic"/>
          <w:sz w:val="24"/>
          <w:szCs w:val="24"/>
          <w:lang w:eastAsia="en-US"/>
        </w:rPr>
        <w:t>O macro-interesse, é aquele que caracteriza-se pela capacidade do Município  de legislar de forma concorrente ou suplementar com a União ou com o Estado – que são as hipóteses versadas no artigo 12  da LOM</w:t>
      </w:r>
      <w:r>
        <w:rPr>
          <w:rFonts w:ascii="Century Gothic" w:eastAsiaTheme="minorHAnsi" w:hAnsi="Century Gothic"/>
          <w:sz w:val="24"/>
          <w:szCs w:val="24"/>
          <w:lang w:eastAsia="en-US"/>
        </w:rPr>
        <w:t>,   em simetria com o art. 23 da Constituição Federal</w:t>
      </w:r>
      <w:r w:rsidRPr="00C37FDC">
        <w:rPr>
          <w:rFonts w:ascii="Century Gothic" w:eastAsiaTheme="minorHAnsi" w:hAnsi="Century Gothic"/>
          <w:sz w:val="24"/>
          <w:szCs w:val="24"/>
          <w:lang w:eastAsia="en-US"/>
        </w:rPr>
        <w:t>.</w:t>
      </w:r>
      <w:r w:rsidR="002F6724">
        <w:rPr>
          <w:rFonts w:ascii="Century Gothic" w:eastAsiaTheme="minorHAnsi" w:hAnsi="Century Gothic"/>
          <w:sz w:val="24"/>
          <w:szCs w:val="24"/>
          <w:lang w:eastAsia="en-US"/>
        </w:rPr>
        <w:t xml:space="preserve">   </w:t>
      </w:r>
    </w:p>
    <w:p w:rsidR="002F6724" w:rsidRDefault="002F6724" w:rsidP="00C37FDC">
      <w:pPr>
        <w:spacing w:line="360" w:lineRule="auto"/>
        <w:ind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>
        <w:rPr>
          <w:rFonts w:ascii="Century Gothic" w:eastAsiaTheme="minorHAnsi" w:hAnsi="Century Gothic"/>
          <w:sz w:val="24"/>
          <w:szCs w:val="24"/>
          <w:lang w:eastAsia="en-US"/>
        </w:rPr>
        <w:t xml:space="preserve">O projeto tem foco na prestação de um serviço digno  especialmente </w:t>
      </w:r>
      <w:r w:rsidR="00C37FDC">
        <w:rPr>
          <w:rFonts w:ascii="Century Gothic" w:eastAsiaTheme="minorHAnsi" w:hAnsi="Century Gothic"/>
          <w:sz w:val="24"/>
          <w:szCs w:val="24"/>
          <w:lang w:eastAsia="en-US"/>
        </w:rPr>
        <w:t xml:space="preserve">com a saúde das pessoa com </w:t>
      </w:r>
      <w:r>
        <w:rPr>
          <w:rFonts w:ascii="Century Gothic" w:eastAsiaTheme="minorHAnsi" w:hAnsi="Century Gothic"/>
          <w:sz w:val="24"/>
          <w:szCs w:val="24"/>
          <w:lang w:eastAsia="en-US"/>
        </w:rPr>
        <w:t>deficiência permanente ou temporária</w:t>
      </w:r>
      <w:r w:rsidR="00C37FDC">
        <w:rPr>
          <w:rFonts w:ascii="Century Gothic" w:eastAsiaTheme="minorHAnsi" w:hAnsi="Century Gothic"/>
          <w:sz w:val="24"/>
          <w:szCs w:val="24"/>
          <w:lang w:eastAsia="en-US"/>
        </w:rPr>
        <w:t>,  atraindo a incidência do art. 23, i</w:t>
      </w:r>
      <w:r>
        <w:rPr>
          <w:rFonts w:ascii="Century Gothic" w:eastAsiaTheme="minorHAnsi" w:hAnsi="Century Gothic"/>
          <w:sz w:val="24"/>
          <w:szCs w:val="24"/>
          <w:lang w:eastAsia="en-US"/>
        </w:rPr>
        <w:t>nc. II da Constituição Federal.</w:t>
      </w:r>
      <w:r w:rsidR="00C37FDC">
        <w:rPr>
          <w:rFonts w:ascii="Century Gothic" w:eastAsiaTheme="minorHAnsi" w:hAnsi="Century Gothic"/>
          <w:sz w:val="24"/>
          <w:szCs w:val="24"/>
          <w:lang w:eastAsia="en-US"/>
        </w:rPr>
        <w:t xml:space="preserve"> </w:t>
      </w:r>
    </w:p>
    <w:p w:rsidR="00C37FDC" w:rsidRDefault="002F6724" w:rsidP="00C37FDC">
      <w:pPr>
        <w:spacing w:line="360" w:lineRule="auto"/>
        <w:ind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>
        <w:rPr>
          <w:rFonts w:ascii="Century Gothic" w:eastAsiaTheme="minorHAnsi" w:hAnsi="Century Gothic"/>
          <w:sz w:val="24"/>
          <w:szCs w:val="24"/>
          <w:lang w:eastAsia="en-US"/>
        </w:rPr>
        <w:t>O</w:t>
      </w:r>
      <w:r w:rsidR="00C37FDC">
        <w:rPr>
          <w:rFonts w:ascii="Century Gothic" w:eastAsiaTheme="minorHAnsi" w:hAnsi="Century Gothic"/>
          <w:sz w:val="24"/>
          <w:szCs w:val="24"/>
          <w:lang w:eastAsia="en-US"/>
        </w:rPr>
        <w:t xml:space="preserve">  </w:t>
      </w:r>
      <w:r w:rsidR="00C37FDC" w:rsidRPr="00C37FDC">
        <w:rPr>
          <w:rFonts w:ascii="Century Gothic" w:eastAsiaTheme="minorHAnsi" w:hAnsi="Century Gothic"/>
          <w:sz w:val="24"/>
          <w:szCs w:val="24"/>
          <w:lang w:eastAsia="en-US"/>
        </w:rPr>
        <w:t xml:space="preserve"> </w:t>
      </w:r>
      <w:r w:rsidR="00C37FDC">
        <w:rPr>
          <w:rFonts w:ascii="Century Gothic" w:eastAsiaTheme="minorHAnsi" w:hAnsi="Century Gothic"/>
          <w:sz w:val="24"/>
          <w:szCs w:val="24"/>
          <w:lang w:eastAsia="en-US"/>
        </w:rPr>
        <w:t>art. 30, inciso I da CF</w:t>
      </w:r>
      <w:r>
        <w:rPr>
          <w:rFonts w:ascii="Century Gothic" w:eastAsiaTheme="minorHAnsi" w:hAnsi="Century Gothic"/>
          <w:sz w:val="24"/>
          <w:szCs w:val="24"/>
          <w:lang w:eastAsia="en-US"/>
        </w:rPr>
        <w:t xml:space="preserve"> </w:t>
      </w:r>
      <w:r w:rsidR="00C37FDC" w:rsidRPr="00C37FDC">
        <w:rPr>
          <w:rFonts w:ascii="Century Gothic" w:eastAsiaTheme="minorHAnsi" w:hAnsi="Century Gothic"/>
          <w:sz w:val="24"/>
          <w:szCs w:val="24"/>
          <w:lang w:eastAsia="en-US"/>
        </w:rPr>
        <w:t xml:space="preserve"> estabelece competência aos municípios para legislarem sobre assunto de interesse local. O que, aliás, pelo princípio da simetria vem reproduzido no inciso XXX do art. 11 da Lei Orgânica Municipal.</w:t>
      </w:r>
    </w:p>
    <w:p w:rsidR="002F6724" w:rsidRPr="002F6724" w:rsidRDefault="002F6724" w:rsidP="002F6724">
      <w:pPr>
        <w:spacing w:line="360" w:lineRule="auto"/>
        <w:ind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2F6724">
        <w:rPr>
          <w:rFonts w:ascii="Century Gothic" w:eastAsiaTheme="minorHAnsi" w:hAnsi="Century Gothic"/>
          <w:sz w:val="24"/>
          <w:szCs w:val="24"/>
          <w:lang w:eastAsia="en-US"/>
        </w:rPr>
        <w:t xml:space="preserve">O art. 12, inciso  XIV da LOM,  estabelece competência concorrente ou supletiva para o município legislar em matéria que </w:t>
      </w:r>
      <w:r w:rsidRPr="002F6724">
        <w:rPr>
          <w:rFonts w:ascii="Century Gothic" w:eastAsiaTheme="minorHAnsi" w:hAnsi="Century Gothic"/>
          <w:sz w:val="24"/>
          <w:szCs w:val="24"/>
          <w:lang w:eastAsia="en-US"/>
        </w:rPr>
        <w:lastRenderedPageBreak/>
        <w:t xml:space="preserve">envolva a defesa do consumidor,  o que é o caso,  pois é ponto pacífico na doutrina brasileira que os serviços bancários regulam-se pelo código de defesa do consumidor.  A segurança </w:t>
      </w:r>
      <w:r>
        <w:rPr>
          <w:rFonts w:ascii="Century Gothic" w:eastAsiaTheme="minorHAnsi" w:hAnsi="Century Gothic"/>
          <w:sz w:val="24"/>
          <w:szCs w:val="24"/>
          <w:lang w:eastAsia="en-US"/>
        </w:rPr>
        <w:t xml:space="preserve">e o atendimento dfigno </w:t>
      </w:r>
      <w:r w:rsidRPr="002F6724">
        <w:rPr>
          <w:rFonts w:ascii="Century Gothic" w:eastAsiaTheme="minorHAnsi" w:hAnsi="Century Gothic"/>
          <w:sz w:val="24"/>
          <w:szCs w:val="24"/>
          <w:lang w:eastAsia="en-US"/>
        </w:rPr>
        <w:t>para o cliente correntista em estabelecimentos bancários  repercute diretamente na qualidade do seu serviço.</w:t>
      </w:r>
    </w:p>
    <w:p w:rsidR="002F6724" w:rsidRPr="002F6724" w:rsidRDefault="002F6724" w:rsidP="002F6724">
      <w:pPr>
        <w:spacing w:line="360" w:lineRule="auto"/>
        <w:ind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2F6724">
        <w:rPr>
          <w:rFonts w:ascii="Century Gothic" w:eastAsiaTheme="minorHAnsi" w:hAnsi="Century Gothic"/>
          <w:sz w:val="24"/>
          <w:szCs w:val="24"/>
          <w:lang w:eastAsia="en-US"/>
        </w:rPr>
        <w:t>Refiro que a jurisprudência é pacífica no sentido de que os municípios possuem legitimidade para legislarem sobre serviços bancários. Vejamos:</w:t>
      </w:r>
    </w:p>
    <w:p w:rsidR="002F6724" w:rsidRPr="002F6724" w:rsidRDefault="002F6724" w:rsidP="002F6724">
      <w:pPr>
        <w:spacing w:after="0" w:line="210" w:lineRule="atLeast"/>
        <w:ind w:left="1701"/>
        <w:jc w:val="both"/>
        <w:textAlignment w:val="top"/>
        <w:rPr>
          <w:rFonts w:ascii="Century Gothic" w:eastAsia="Times New Roman" w:hAnsi="Century Gothic" w:cs="Tahoma"/>
          <w:bCs/>
          <w:sz w:val="24"/>
          <w:szCs w:val="24"/>
          <w:shd w:val="clear" w:color="auto" w:fill="FFFFFF"/>
        </w:rPr>
      </w:pPr>
      <w:r w:rsidRPr="002F6724">
        <w:rPr>
          <w:rFonts w:ascii="Century Gothic" w:eastAsia="Times New Roman" w:hAnsi="Century Gothic" w:cs="Tahoma"/>
          <w:bCs/>
          <w:sz w:val="24"/>
          <w:szCs w:val="24"/>
          <w:shd w:val="clear" w:color="auto" w:fill="FFFFFF"/>
        </w:rPr>
        <w:t xml:space="preserve">Agravo regimental no recurso extraordinário com agravo. Representação por inconstitucionalidade. Lei nº 4.344, de 29 de abril de 2010, do Município de Contagem/MG, que obriga agências bancárias a instalarem divisórias entre os caixas e o espaço reservado para os clientes que aguardam atendimento. Lei de iniciativa parlamentar. Ausência de vício formal de iniciativa. Matéria de interesse local. Competência municipal. Precedentes. 1. A lei impugnada não dispõe sobre nenhuma das matérias sujeitas à iniciativa legislativa reservada do chefe do Poder Executivo previstas no art. 61, § 1º, da Constituição Federal, cuidando, tão somente, de impor obrigações a entidades privadas, quais sejam, as agências bancárias do município, que deverão observar os padrões estabelecidos na lei para a segurança e o conforto no atendimento aos usuários dos serviços bancários, de modo que o diploma em questão não incorre em vício formal de iniciativa. 2. </w:t>
      </w:r>
      <w:r w:rsidRPr="002F6724">
        <w:rPr>
          <w:rFonts w:ascii="Century Gothic" w:eastAsia="Times New Roman" w:hAnsi="Century Gothic" w:cs="Tahoma"/>
          <w:b/>
          <w:bCs/>
          <w:sz w:val="24"/>
          <w:szCs w:val="24"/>
          <w:u w:val="single"/>
          <w:shd w:val="clear" w:color="auto" w:fill="FFFFFF"/>
        </w:rPr>
        <w:t>A jurisprudência do Supremo Tribunal Federal firmou-se no sentido de que os municípios detêm competência legislativa para dispor sobre segurança, rapidez e conforto no atendimento de usuários de serviços bancários, </w:t>
      </w:r>
      <w:r w:rsidRPr="002F6724">
        <w:rPr>
          <w:rFonts w:ascii="Century Gothic" w:eastAsia="Times New Roman" w:hAnsi="Century Gothic" w:cs="Tahoma"/>
          <w:bCs/>
          <w:sz w:val="24"/>
          <w:szCs w:val="24"/>
          <w:shd w:val="clear" w:color="auto" w:fill="FFFFFF"/>
        </w:rPr>
        <w:t>por serem tais matérias assuntos de interesse local (art. 30, inciso I, Constituição Federal), orientação ratificada no julgamento da Repercussão Geral no RE nº 610221-RG, de relatoria da Ministra Ellen Gracie (DJe de 20/08/10). Precedentes. 3. Agravo regimental não provido.</w:t>
      </w:r>
    </w:p>
    <w:p w:rsidR="002F6724" w:rsidRPr="002F6724" w:rsidRDefault="002F6724" w:rsidP="002F6724">
      <w:pPr>
        <w:ind w:left="1701"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hyperlink r:id="rId8" w:history="1">
        <w:r w:rsidRPr="002F6724">
          <w:rPr>
            <w:rFonts w:ascii="Century Gothic" w:eastAsiaTheme="minorHAnsi" w:hAnsi="Century Gothic" w:cs="Tahoma"/>
            <w:bCs/>
            <w:sz w:val="24"/>
            <w:szCs w:val="24"/>
            <w:shd w:val="clear" w:color="auto" w:fill="FFFFFF"/>
            <w:lang w:eastAsia="en-US"/>
          </w:rPr>
          <w:t>ARE 756593 AgR</w:t>
        </w:r>
      </w:hyperlink>
      <w:r w:rsidRPr="002F6724">
        <w:rPr>
          <w:rFonts w:ascii="Century Gothic" w:eastAsiaTheme="minorHAnsi" w:hAnsi="Century Gothic" w:cs="Tahoma"/>
          <w:bCs/>
          <w:sz w:val="24"/>
          <w:szCs w:val="24"/>
          <w:shd w:val="clear" w:color="auto" w:fill="FFFFFF"/>
          <w:lang w:eastAsia="en-US"/>
        </w:rPr>
        <w:t> / MG - MINAS GERAIS </w:t>
      </w:r>
      <w:r w:rsidRPr="002F6724">
        <w:rPr>
          <w:rFonts w:ascii="Century Gothic" w:eastAsiaTheme="minorHAnsi" w:hAnsi="Century Gothic" w:cs="Tahoma"/>
          <w:bCs/>
          <w:sz w:val="24"/>
          <w:szCs w:val="24"/>
          <w:shd w:val="clear" w:color="auto" w:fill="FFFFFF"/>
          <w:lang w:eastAsia="en-US"/>
        </w:rPr>
        <w:br/>
        <w:t>AG.REG. NO RECURSO EXTRAORDINÁRIO COM AGRAVO</w:t>
      </w:r>
      <w:r w:rsidRPr="002F6724">
        <w:rPr>
          <w:rFonts w:ascii="Century Gothic" w:eastAsiaTheme="minorHAnsi" w:hAnsi="Century Gothic" w:cs="Tahoma"/>
          <w:bCs/>
          <w:sz w:val="24"/>
          <w:szCs w:val="24"/>
          <w:shd w:val="clear" w:color="auto" w:fill="FFFFFF"/>
          <w:lang w:eastAsia="en-US"/>
        </w:rPr>
        <w:br/>
        <w:t>Relator(a):  Min. DIAS TOFFOLI</w:t>
      </w:r>
      <w:r w:rsidRPr="002F6724">
        <w:rPr>
          <w:rFonts w:ascii="Century Gothic" w:eastAsiaTheme="minorHAnsi" w:hAnsi="Century Gothic" w:cs="Tahoma"/>
          <w:bCs/>
          <w:sz w:val="24"/>
          <w:szCs w:val="24"/>
          <w:shd w:val="clear" w:color="auto" w:fill="FFFFFF"/>
          <w:lang w:eastAsia="en-US"/>
        </w:rPr>
        <w:br/>
        <w:t>Julgamento:  16/12/2014 </w:t>
      </w:r>
    </w:p>
    <w:p w:rsidR="002F6724" w:rsidRPr="002F6724" w:rsidRDefault="002F6724" w:rsidP="002F6724">
      <w:pPr>
        <w:ind w:firstLine="1701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</w:p>
    <w:p w:rsidR="00C477B8" w:rsidRDefault="00C477B8" w:rsidP="00312F22">
      <w:pPr>
        <w:spacing w:line="360" w:lineRule="auto"/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lastRenderedPageBreak/>
        <w:t xml:space="preserve">Portanto </w:t>
      </w:r>
      <w:r w:rsidRPr="002F6724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o projeto é materialmente constitucional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.</w:t>
      </w:r>
    </w:p>
    <w:p w:rsidR="00C477B8" w:rsidRDefault="00C477B8" w:rsidP="0005198D">
      <w:pPr>
        <w:ind w:firstLine="1701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:rsidR="00C95965" w:rsidRDefault="00C95965" w:rsidP="00C95965">
      <w:pPr>
        <w:shd w:val="clear" w:color="auto" w:fill="17365D" w:themeFill="text2" w:themeFillShade="BF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 INICIATIVA LEGISLATIVA:</w:t>
      </w:r>
    </w:p>
    <w:p w:rsidR="004D6EDE" w:rsidRDefault="004D6EDE" w:rsidP="00C95965">
      <w:pPr>
        <w:ind w:firstLine="1701"/>
        <w:jc w:val="both"/>
        <w:rPr>
          <w:rFonts w:ascii="Century Gothic" w:hAnsi="Century Gothic"/>
          <w:sz w:val="24"/>
          <w:szCs w:val="24"/>
        </w:rPr>
      </w:pPr>
    </w:p>
    <w:p w:rsidR="00C95965" w:rsidRDefault="00D27CEC" w:rsidP="003C6C89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Os </w:t>
      </w:r>
      <w:r w:rsidR="00C95965">
        <w:rPr>
          <w:rFonts w:ascii="Century Gothic" w:hAnsi="Century Gothic"/>
          <w:sz w:val="24"/>
          <w:szCs w:val="24"/>
        </w:rPr>
        <w:t xml:space="preserve"> Vereador</w:t>
      </w:r>
      <w:r>
        <w:rPr>
          <w:rFonts w:ascii="Century Gothic" w:hAnsi="Century Gothic"/>
          <w:sz w:val="24"/>
          <w:szCs w:val="24"/>
        </w:rPr>
        <w:t>es possuem legitimidade para</w:t>
      </w:r>
      <w:r w:rsidR="00C95965">
        <w:rPr>
          <w:rFonts w:ascii="Century Gothic" w:hAnsi="Century Gothic"/>
          <w:sz w:val="24"/>
          <w:szCs w:val="24"/>
        </w:rPr>
        <w:t xml:space="preserve"> a apresentação de proposições,  conforme art. 14, inciso III do Regimento Interno,  em consonância  com o art</w:t>
      </w:r>
      <w:r w:rsidR="001B24F8">
        <w:rPr>
          <w:rFonts w:ascii="Century Gothic" w:hAnsi="Century Gothic"/>
          <w:sz w:val="24"/>
          <w:szCs w:val="24"/>
        </w:rPr>
        <w:t>. 134 da Lei Orgânica Municipal,  contudo,  respeitado o princípio da reserva legal.</w:t>
      </w:r>
    </w:p>
    <w:p w:rsidR="00C37FDC" w:rsidRDefault="00C37FDC" w:rsidP="003C6C89">
      <w:pPr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Tenho que a matéria versada no projeto em exame é de iniciativa comum</w:t>
      </w:r>
      <w:r w:rsidR="005F5E52">
        <w:rPr>
          <w:rFonts w:ascii="Century Gothic" w:hAnsi="Century Gothic"/>
          <w:sz w:val="24"/>
          <w:szCs w:val="24"/>
        </w:rPr>
        <w:t>,  pois não trata das matérias cuja competência é reservada privativamente ao Chefe do Executivo.</w:t>
      </w:r>
    </w:p>
    <w:p w:rsidR="00415F43" w:rsidRDefault="00415F43" w:rsidP="00415F43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Neste contexto </w:t>
      </w:r>
      <w:r w:rsidRPr="00415F43">
        <w:rPr>
          <w:rFonts w:ascii="Century Gothic" w:eastAsia="Times New Roman" w:hAnsi="Century Gothic" w:cs="Times New Roman"/>
          <w:b/>
          <w:sz w:val="24"/>
          <w:szCs w:val="24"/>
        </w:rPr>
        <w:t>o projeto é formalmente constitucional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por inquestionável vício de iniciativa.</w:t>
      </w:r>
    </w:p>
    <w:p w:rsidR="00862061" w:rsidRPr="0009207F" w:rsidRDefault="00862061" w:rsidP="00862061">
      <w:pPr>
        <w:shd w:val="clear" w:color="auto" w:fill="17365D" w:themeFill="text2" w:themeFillShade="B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09207F">
        <w:rPr>
          <w:rFonts w:ascii="Century Gothic" w:eastAsia="Times New Roman" w:hAnsi="Century Gothic" w:cs="Times New Roman"/>
          <w:bCs/>
          <w:sz w:val="24"/>
          <w:szCs w:val="24"/>
        </w:rPr>
        <w:t>QUANTO À TÉCNICA LEGISLATIVA:</w:t>
      </w:r>
    </w:p>
    <w:p w:rsidR="00862061" w:rsidRDefault="00862061" w:rsidP="00862061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862061" w:rsidRPr="0009207F" w:rsidRDefault="00862061" w:rsidP="00862061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Nesse tópico o projeto é analisado à luz da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 xml:space="preserve"> Lei Complementar 95/98, </w:t>
      </w:r>
      <w:r>
        <w:rPr>
          <w:rFonts w:ascii="Century Gothic" w:eastAsia="Times New Roman" w:hAnsi="Century Gothic" w:cs="Times New Roman"/>
          <w:sz w:val="24"/>
          <w:szCs w:val="24"/>
        </w:rPr>
        <w:t>e do art. 76, parágrafos 1º ao 3º do Regimento Interno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:rsidR="00862061" w:rsidRDefault="00862061" w:rsidP="00862061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Verifico que 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 xml:space="preserve"> o projeto de lei foi estruturado </w:t>
      </w:r>
      <w:r>
        <w:rPr>
          <w:rFonts w:ascii="Century Gothic" w:eastAsia="Times New Roman" w:hAnsi="Century Gothic" w:cs="Times New Roman"/>
          <w:sz w:val="24"/>
          <w:szCs w:val="24"/>
        </w:rPr>
        <w:t>observando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a 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>parte preliminar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(ementa)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a 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 xml:space="preserve">parte normativa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(de forma objetiva e devidamente articulado), cumprindo exigência do art. 3º da LC 95/98,  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 xml:space="preserve">e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a 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>parte final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estabelecendo a vigência – o que atende ao art. 8º da LC 95/95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>.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Ademais o projeto apresenta justificativa,  o que atende o §1º do art. 76 do Regimento.</w:t>
      </w:r>
      <w:r w:rsidRPr="0009207F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862061" w:rsidRDefault="00862061" w:rsidP="00862061">
      <w:pPr>
        <w:spacing w:before="100" w:beforeAutospacing="1" w:after="100" w:afterAutospacing="1" w:line="360" w:lineRule="auto"/>
        <w:ind w:firstLine="1701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lastRenderedPageBreak/>
        <w:t>Portanto,  no exame de legalidade quanto à técnica legislativa o projeto atende aos requisitos da LC 95/98 e do Regimento Interno.</w:t>
      </w:r>
    </w:p>
    <w:p w:rsidR="00862061" w:rsidRDefault="00862061" w:rsidP="00862061">
      <w:pPr>
        <w:tabs>
          <w:tab w:val="left" w:pos="1832"/>
        </w:tabs>
        <w:ind w:firstLine="1701"/>
        <w:jc w:val="both"/>
        <w:rPr>
          <w:rFonts w:ascii="Century Gothic" w:hAnsi="Century Gothic"/>
          <w:sz w:val="24"/>
          <w:szCs w:val="24"/>
        </w:rPr>
      </w:pPr>
    </w:p>
    <w:p w:rsidR="00862061" w:rsidRPr="00BE69C6" w:rsidRDefault="00862061" w:rsidP="00862061">
      <w:pPr>
        <w:pStyle w:val="NormalWeb"/>
        <w:shd w:val="clear" w:color="auto" w:fill="17365D" w:themeFill="text2" w:themeFillShade="BF"/>
        <w:spacing w:before="0" w:beforeAutospacing="0" w:after="125" w:afterAutospacing="0" w:line="326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PROCESSO LEGISLATIVO:</w:t>
      </w:r>
    </w:p>
    <w:p w:rsidR="00862061" w:rsidRDefault="00862061" w:rsidP="00862061">
      <w:pPr>
        <w:pStyle w:val="NormalWeb"/>
        <w:spacing w:before="0" w:beforeAutospacing="0" w:after="125" w:afterAutospacing="0" w:line="326" w:lineRule="atLeast"/>
        <w:ind w:firstLine="1701"/>
        <w:jc w:val="both"/>
        <w:rPr>
          <w:rFonts w:ascii="Century Gothic" w:hAnsi="Century Gothic" w:cs="Arial"/>
        </w:rPr>
      </w:pPr>
    </w:p>
    <w:p w:rsidR="00862061" w:rsidRDefault="00862061" w:rsidP="00862061">
      <w:pPr>
        <w:tabs>
          <w:tab w:val="left" w:pos="1832"/>
        </w:tabs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 processo legislativo é ordinário,  sujeitando-se inicialmente ao crivo da Comissão de Constituição e Justiça.  </w:t>
      </w:r>
    </w:p>
    <w:p w:rsidR="00862061" w:rsidRDefault="00862061" w:rsidP="00862061">
      <w:pPr>
        <w:tabs>
          <w:tab w:val="left" w:pos="1832"/>
        </w:tabs>
        <w:spacing w:line="360" w:lineRule="auto"/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 matéria restará aprovada por maioria simples (por se tratar de projeto de lei ordinária), de acordo com o art. 144 do Regimento Interno, devendo passar pelo crivo do Plenário em duas votações (art. 136 do Regimento) e se sujeita á sanção do Chefe do Executivo,  conforme dispõe o art. 85 também do Regimento Interno.</w:t>
      </w:r>
    </w:p>
    <w:p w:rsidR="00866E34" w:rsidRDefault="00866E34" w:rsidP="00866E34">
      <w:pPr>
        <w:tabs>
          <w:tab w:val="left" w:pos="1832"/>
        </w:tabs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É como opino.</w:t>
      </w:r>
    </w:p>
    <w:p w:rsidR="00866E34" w:rsidRDefault="00866E34" w:rsidP="00866E34">
      <w:pPr>
        <w:tabs>
          <w:tab w:val="left" w:pos="1832"/>
        </w:tabs>
        <w:ind w:firstLine="170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São Leopoldo,  </w:t>
      </w:r>
      <w:r w:rsidR="00862061">
        <w:rPr>
          <w:rFonts w:ascii="Century Gothic" w:hAnsi="Century Gothic"/>
          <w:sz w:val="24"/>
          <w:szCs w:val="24"/>
        </w:rPr>
        <w:t>11</w:t>
      </w:r>
      <w:r w:rsidR="00595EA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de </w:t>
      </w:r>
      <w:r w:rsidR="00862061">
        <w:rPr>
          <w:rFonts w:ascii="Century Gothic" w:hAnsi="Century Gothic"/>
          <w:sz w:val="24"/>
          <w:szCs w:val="24"/>
        </w:rPr>
        <w:t>novembro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de 2021.</w:t>
      </w:r>
    </w:p>
    <w:p w:rsidR="00866E34" w:rsidRPr="002B252D" w:rsidRDefault="00866E34" w:rsidP="00866E34">
      <w:pPr>
        <w:tabs>
          <w:tab w:val="left" w:pos="1832"/>
        </w:tabs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2B252D">
        <w:rPr>
          <w:rFonts w:ascii="Century Gothic" w:hAnsi="Century Gothic"/>
          <w:b/>
          <w:sz w:val="24"/>
          <w:szCs w:val="24"/>
        </w:rPr>
        <w:t>Jefferson Oliveira Soares,</w:t>
      </w:r>
    </w:p>
    <w:p w:rsidR="00866E34" w:rsidRPr="002B252D" w:rsidRDefault="00866E34" w:rsidP="00866E34">
      <w:pPr>
        <w:tabs>
          <w:tab w:val="left" w:pos="1832"/>
        </w:tabs>
        <w:ind w:firstLine="1701"/>
        <w:jc w:val="both"/>
        <w:rPr>
          <w:rFonts w:ascii="Century Gothic" w:hAnsi="Century Gothic"/>
          <w:b/>
          <w:sz w:val="24"/>
          <w:szCs w:val="24"/>
        </w:rPr>
      </w:pPr>
      <w:r w:rsidRPr="002B252D">
        <w:rPr>
          <w:rFonts w:ascii="Century Gothic" w:hAnsi="Century Gothic"/>
          <w:b/>
          <w:sz w:val="24"/>
          <w:szCs w:val="24"/>
        </w:rPr>
        <w:t>Consultor Jurídico.</w:t>
      </w:r>
    </w:p>
    <w:sectPr w:rsidR="00866E34" w:rsidRPr="002B252D" w:rsidSect="003E5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59" w:rsidRDefault="000A4D59" w:rsidP="002A2572">
      <w:pPr>
        <w:spacing w:after="0" w:line="240" w:lineRule="auto"/>
      </w:pPr>
      <w:r>
        <w:separator/>
      </w:r>
    </w:p>
  </w:endnote>
  <w:endnote w:type="continuationSeparator" w:id="0">
    <w:p w:rsidR="000A4D59" w:rsidRDefault="000A4D59" w:rsidP="002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59" w:rsidRDefault="000A4D59" w:rsidP="002A2572">
      <w:pPr>
        <w:spacing w:after="0" w:line="240" w:lineRule="auto"/>
      </w:pPr>
      <w:r>
        <w:separator/>
      </w:r>
    </w:p>
  </w:footnote>
  <w:footnote w:type="continuationSeparator" w:id="0">
    <w:p w:rsidR="000A4D59" w:rsidRDefault="000A4D59" w:rsidP="002A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0997"/>
    <w:multiLevelType w:val="hybridMultilevel"/>
    <w:tmpl w:val="DE54C590"/>
    <w:lvl w:ilvl="0" w:tplc="D1F09CD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4996314"/>
    <w:multiLevelType w:val="hybridMultilevel"/>
    <w:tmpl w:val="C840BC20"/>
    <w:lvl w:ilvl="0" w:tplc="3CF4E73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EC"/>
    <w:rsid w:val="00024FE8"/>
    <w:rsid w:val="00034B17"/>
    <w:rsid w:val="000400A9"/>
    <w:rsid w:val="000514F8"/>
    <w:rsid w:val="0005198D"/>
    <w:rsid w:val="00061A66"/>
    <w:rsid w:val="000760FA"/>
    <w:rsid w:val="00095446"/>
    <w:rsid w:val="00096F55"/>
    <w:rsid w:val="000A4D59"/>
    <w:rsid w:val="000B1612"/>
    <w:rsid w:val="000B5468"/>
    <w:rsid w:val="000E4966"/>
    <w:rsid w:val="00147B59"/>
    <w:rsid w:val="00154EC2"/>
    <w:rsid w:val="00166A69"/>
    <w:rsid w:val="001A3072"/>
    <w:rsid w:val="001A54A3"/>
    <w:rsid w:val="001B24F8"/>
    <w:rsid w:val="001B401D"/>
    <w:rsid w:val="001D3058"/>
    <w:rsid w:val="001D55C5"/>
    <w:rsid w:val="001E3B75"/>
    <w:rsid w:val="001E57FD"/>
    <w:rsid w:val="001F66D3"/>
    <w:rsid w:val="001F6D3E"/>
    <w:rsid w:val="001F773E"/>
    <w:rsid w:val="002061F7"/>
    <w:rsid w:val="002121CB"/>
    <w:rsid w:val="002644D9"/>
    <w:rsid w:val="00265C4E"/>
    <w:rsid w:val="002A2572"/>
    <w:rsid w:val="002A2E89"/>
    <w:rsid w:val="002A62E8"/>
    <w:rsid w:val="002A68C4"/>
    <w:rsid w:val="002B252D"/>
    <w:rsid w:val="002C1EEC"/>
    <w:rsid w:val="002D3508"/>
    <w:rsid w:val="002E0222"/>
    <w:rsid w:val="002F0AF8"/>
    <w:rsid w:val="002F6724"/>
    <w:rsid w:val="00312F22"/>
    <w:rsid w:val="00376436"/>
    <w:rsid w:val="003B2728"/>
    <w:rsid w:val="003B6E3C"/>
    <w:rsid w:val="003C5B77"/>
    <w:rsid w:val="003C6C89"/>
    <w:rsid w:val="003D290B"/>
    <w:rsid w:val="003E465C"/>
    <w:rsid w:val="003E5B19"/>
    <w:rsid w:val="00415F43"/>
    <w:rsid w:val="0045733D"/>
    <w:rsid w:val="004A21F1"/>
    <w:rsid w:val="004B5291"/>
    <w:rsid w:val="004C0498"/>
    <w:rsid w:val="004D6EDE"/>
    <w:rsid w:val="004F2081"/>
    <w:rsid w:val="005012CB"/>
    <w:rsid w:val="0055456B"/>
    <w:rsid w:val="0055532E"/>
    <w:rsid w:val="0056354F"/>
    <w:rsid w:val="00595EA7"/>
    <w:rsid w:val="005B038C"/>
    <w:rsid w:val="005E291D"/>
    <w:rsid w:val="005E47AA"/>
    <w:rsid w:val="005F5E52"/>
    <w:rsid w:val="006009A9"/>
    <w:rsid w:val="00604A90"/>
    <w:rsid w:val="006170ED"/>
    <w:rsid w:val="00637537"/>
    <w:rsid w:val="00657528"/>
    <w:rsid w:val="00661D0E"/>
    <w:rsid w:val="0067780F"/>
    <w:rsid w:val="00682677"/>
    <w:rsid w:val="006A6BA9"/>
    <w:rsid w:val="006B4A2E"/>
    <w:rsid w:val="006D214C"/>
    <w:rsid w:val="006F4DD8"/>
    <w:rsid w:val="00705708"/>
    <w:rsid w:val="00715DA9"/>
    <w:rsid w:val="007500D3"/>
    <w:rsid w:val="0078461F"/>
    <w:rsid w:val="00784BD9"/>
    <w:rsid w:val="007A1C62"/>
    <w:rsid w:val="007B1848"/>
    <w:rsid w:val="007D7E39"/>
    <w:rsid w:val="007E3F9A"/>
    <w:rsid w:val="00805DEC"/>
    <w:rsid w:val="00834716"/>
    <w:rsid w:val="00835DBD"/>
    <w:rsid w:val="0085458F"/>
    <w:rsid w:val="00855F6B"/>
    <w:rsid w:val="00862061"/>
    <w:rsid w:val="00866E34"/>
    <w:rsid w:val="00876DDF"/>
    <w:rsid w:val="00880BC2"/>
    <w:rsid w:val="008906D0"/>
    <w:rsid w:val="008D7A21"/>
    <w:rsid w:val="008E06E4"/>
    <w:rsid w:val="008F16A5"/>
    <w:rsid w:val="009128FC"/>
    <w:rsid w:val="00934226"/>
    <w:rsid w:val="009432FB"/>
    <w:rsid w:val="00993FDE"/>
    <w:rsid w:val="009940DA"/>
    <w:rsid w:val="00995DE6"/>
    <w:rsid w:val="009B241B"/>
    <w:rsid w:val="009B5FFF"/>
    <w:rsid w:val="009D2B31"/>
    <w:rsid w:val="009F3193"/>
    <w:rsid w:val="00A258D9"/>
    <w:rsid w:val="00A275AB"/>
    <w:rsid w:val="00A63683"/>
    <w:rsid w:val="00A97260"/>
    <w:rsid w:val="00AA1099"/>
    <w:rsid w:val="00AC7FC1"/>
    <w:rsid w:val="00AD24D2"/>
    <w:rsid w:val="00AE366A"/>
    <w:rsid w:val="00AE6619"/>
    <w:rsid w:val="00B22AC2"/>
    <w:rsid w:val="00B23A15"/>
    <w:rsid w:val="00B327C3"/>
    <w:rsid w:val="00B363BC"/>
    <w:rsid w:val="00B37326"/>
    <w:rsid w:val="00B93CD9"/>
    <w:rsid w:val="00BB3D70"/>
    <w:rsid w:val="00C021C8"/>
    <w:rsid w:val="00C35CF5"/>
    <w:rsid w:val="00C37FDC"/>
    <w:rsid w:val="00C477B8"/>
    <w:rsid w:val="00C50426"/>
    <w:rsid w:val="00C508B0"/>
    <w:rsid w:val="00C70A21"/>
    <w:rsid w:val="00C94B39"/>
    <w:rsid w:val="00C95965"/>
    <w:rsid w:val="00CA4ACD"/>
    <w:rsid w:val="00CD2F07"/>
    <w:rsid w:val="00D04125"/>
    <w:rsid w:val="00D1414D"/>
    <w:rsid w:val="00D27CEC"/>
    <w:rsid w:val="00D31B3A"/>
    <w:rsid w:val="00D51F95"/>
    <w:rsid w:val="00D639C7"/>
    <w:rsid w:val="00D74CF2"/>
    <w:rsid w:val="00DA56C9"/>
    <w:rsid w:val="00DE195E"/>
    <w:rsid w:val="00E02156"/>
    <w:rsid w:val="00E02958"/>
    <w:rsid w:val="00E06F62"/>
    <w:rsid w:val="00E13F3E"/>
    <w:rsid w:val="00E611EE"/>
    <w:rsid w:val="00EA05C9"/>
    <w:rsid w:val="00ED14D6"/>
    <w:rsid w:val="00EE01C4"/>
    <w:rsid w:val="00EE1049"/>
    <w:rsid w:val="00EE6C71"/>
    <w:rsid w:val="00F20BD8"/>
    <w:rsid w:val="00F3335D"/>
    <w:rsid w:val="00F50513"/>
    <w:rsid w:val="00F72EE2"/>
    <w:rsid w:val="00F913C4"/>
    <w:rsid w:val="00FA1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3901-F744-44FD-AAE2-F0545DA7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1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A2572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25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25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2572"/>
    <w:rPr>
      <w:vertAlign w:val="superscript"/>
    </w:rPr>
  </w:style>
  <w:style w:type="table" w:styleId="Tabelacomgrade">
    <w:name w:val="Table Grid"/>
    <w:basedOn w:val="Tabelanormal"/>
    <w:uiPriority w:val="59"/>
    <w:rsid w:val="002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04A90"/>
    <w:rPr>
      <w:b/>
      <w:bCs/>
    </w:rPr>
  </w:style>
  <w:style w:type="paragraph" w:styleId="PargrafodaLista">
    <w:name w:val="List Paragraph"/>
    <w:basedOn w:val="Normal"/>
    <w:uiPriority w:val="34"/>
    <w:qFormat/>
    <w:rsid w:val="007E3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24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41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611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.jus.br/portal/processo/verProcessoAndamento.asp?numero=756593&amp;classe=ARE-AgR&amp;codigoClasse=0&amp;origem=JUR&amp;recurso=0&amp;tipoJulgamento=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82D7-E975-4000-B45E-E71CBF7D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2021-05-27T00:04:00Z</cp:lastPrinted>
  <dcterms:created xsi:type="dcterms:W3CDTF">2021-11-11T18:22:00Z</dcterms:created>
  <dcterms:modified xsi:type="dcterms:W3CDTF">2021-11-11T18:22:00Z</dcterms:modified>
</cp:coreProperties>
</file>