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D51BAD" w:rsidRDefault="006E26A8" w:rsidP="00D51BAD">
      <w:pPr>
        <w:keepNext/>
        <w:rPr>
          <w:rFonts w:ascii="Arial" w:eastAsia="Calibri" w:hAnsi="Arial" w:cs="Arial"/>
          <w:b/>
        </w:rPr>
      </w:pPr>
    </w:p>
    <w:p w14:paraId="7B8BB2F9" w14:textId="1543E8CE" w:rsidR="006E26A8" w:rsidRPr="00D51BAD" w:rsidRDefault="00E11D7D" w:rsidP="00D51BAD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D51BAD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3F27F6">
        <w:rPr>
          <w:rFonts w:ascii="Arial" w:eastAsia="Calibri" w:hAnsi="Arial" w:cs="Arial"/>
          <w:b/>
          <w:color w:val="000000"/>
          <w:u w:val="single"/>
        </w:rPr>
        <w:t>118</w:t>
      </w:r>
      <w:r w:rsidRPr="00D51BAD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Default="006E26A8" w:rsidP="00D51BAD">
      <w:pPr>
        <w:widowControl w:val="0"/>
        <w:jc w:val="both"/>
        <w:rPr>
          <w:rFonts w:ascii="Arial" w:eastAsia="Calibri" w:hAnsi="Arial" w:cs="Arial"/>
          <w:b/>
        </w:rPr>
      </w:pPr>
    </w:p>
    <w:p w14:paraId="6076A69C" w14:textId="77777777" w:rsidR="003F27F6" w:rsidRPr="00D51BAD" w:rsidRDefault="003F27F6" w:rsidP="00D51BAD">
      <w:pPr>
        <w:widowControl w:val="0"/>
        <w:jc w:val="both"/>
        <w:rPr>
          <w:rFonts w:ascii="Arial" w:eastAsia="Calibri" w:hAnsi="Arial" w:cs="Arial"/>
          <w:b/>
        </w:rPr>
      </w:pPr>
    </w:p>
    <w:p w14:paraId="25741E6F" w14:textId="77777777" w:rsidR="00D51BAD" w:rsidRPr="00D51BAD" w:rsidRDefault="00D51BAD" w:rsidP="00D51BAD">
      <w:pPr>
        <w:jc w:val="both"/>
        <w:rPr>
          <w:rFonts w:ascii="Arial" w:hAnsi="Arial" w:cs="Arial"/>
          <w:b/>
          <w:bCs/>
        </w:rPr>
      </w:pPr>
      <w:r w:rsidRPr="00D51BAD">
        <w:rPr>
          <w:rFonts w:ascii="Arial" w:eastAsia="Calibri" w:hAnsi="Arial" w:cs="Arial"/>
          <w:b/>
          <w:color w:val="000000"/>
        </w:rPr>
        <w:t xml:space="preserve">MATÉRIA: </w:t>
      </w:r>
      <w:r w:rsidRPr="00D51BAD">
        <w:rPr>
          <w:rFonts w:ascii="Arial" w:hAnsi="Arial" w:cs="Arial"/>
        </w:rPr>
        <w:t xml:space="preserve">Projeto de Lei Complementar do Legislativo </w:t>
      </w:r>
      <w:proofErr w:type="spellStart"/>
      <w:r w:rsidRPr="00D51BAD">
        <w:rPr>
          <w:rFonts w:ascii="Arial" w:hAnsi="Arial" w:cs="Arial"/>
        </w:rPr>
        <w:t>n.°</w:t>
      </w:r>
      <w:proofErr w:type="spellEnd"/>
      <w:r w:rsidRPr="00D51BAD">
        <w:rPr>
          <w:rFonts w:ascii="Arial" w:hAnsi="Arial" w:cs="Arial"/>
        </w:rPr>
        <w:t xml:space="preserve"> 002/25 do Vereador ELITON FREITAG que "Inclui dispositivo na Lei Complementar nº 001, de 27 de março de 2018, que “Institui o Novo Código de Posturas e revoga a Lei nº 195, de 01 de dezembro de 1971”;</w:t>
      </w:r>
    </w:p>
    <w:p w14:paraId="72C0489C" w14:textId="77777777" w:rsidR="00D51BAD" w:rsidRPr="00D51BAD" w:rsidRDefault="00D51BAD" w:rsidP="00D51B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>Protocolado em 29/09/2025</w:t>
      </w:r>
    </w:p>
    <w:p w14:paraId="55AE8307" w14:textId="77777777" w:rsidR="00D51BAD" w:rsidRPr="00D51BAD" w:rsidRDefault="00D51BAD" w:rsidP="00D51B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>Encaminhado à Comissão em 30/09/2025</w:t>
      </w:r>
    </w:p>
    <w:p w14:paraId="22E59536" w14:textId="77777777" w:rsidR="00D51BAD" w:rsidRPr="00D51BAD" w:rsidRDefault="00D51BAD" w:rsidP="00D51B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Rito Normal </w:t>
      </w:r>
    </w:p>
    <w:p w14:paraId="6EC82764" w14:textId="77777777" w:rsidR="00C619AF" w:rsidRDefault="00C619AF" w:rsidP="00D51BAD">
      <w:pPr>
        <w:jc w:val="both"/>
        <w:rPr>
          <w:rFonts w:ascii="Arial" w:eastAsia="Calibri" w:hAnsi="Arial" w:cs="Arial"/>
          <w:b/>
        </w:rPr>
      </w:pPr>
    </w:p>
    <w:p w14:paraId="33EBFB15" w14:textId="77777777" w:rsidR="00D51BAD" w:rsidRPr="00D51BAD" w:rsidRDefault="00D51BAD" w:rsidP="00D51BAD">
      <w:pPr>
        <w:jc w:val="both"/>
        <w:rPr>
          <w:rFonts w:ascii="Arial" w:eastAsia="Calibri" w:hAnsi="Arial" w:cs="Arial"/>
          <w:b/>
        </w:rPr>
      </w:pPr>
    </w:p>
    <w:p w14:paraId="0F9C0F2F" w14:textId="77777777" w:rsidR="00C619AF" w:rsidRPr="00D51BAD" w:rsidRDefault="00C619AF" w:rsidP="00D51BAD">
      <w:pPr>
        <w:jc w:val="both"/>
        <w:rPr>
          <w:rFonts w:ascii="Arial" w:eastAsia="Calibri" w:hAnsi="Arial" w:cs="Arial"/>
          <w:b/>
        </w:rPr>
      </w:pPr>
    </w:p>
    <w:p w14:paraId="70FF2842" w14:textId="77777777" w:rsidR="00C619AF" w:rsidRPr="00D51BAD" w:rsidRDefault="00C619AF" w:rsidP="00D51BAD">
      <w:pPr>
        <w:jc w:val="both"/>
        <w:rPr>
          <w:rFonts w:ascii="Arial" w:eastAsia="Calibri" w:hAnsi="Arial" w:cs="Arial"/>
          <w:b/>
        </w:rPr>
      </w:pPr>
    </w:p>
    <w:p w14:paraId="07B84FEF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D51BAD">
        <w:rPr>
          <w:rFonts w:ascii="Arial" w:eastAsia="Calibri" w:hAnsi="Arial" w:cs="Arial"/>
          <w:b/>
          <w:u w:val="single"/>
        </w:rPr>
        <w:t>I – RELATÓRIO</w:t>
      </w:r>
    </w:p>
    <w:p w14:paraId="44DF434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442541F4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É o sucinto relatório.</w:t>
      </w:r>
    </w:p>
    <w:p w14:paraId="51E6988C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Passo à análise jurídica.</w:t>
      </w:r>
    </w:p>
    <w:p w14:paraId="16770A9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FDE8451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D51BAD">
        <w:rPr>
          <w:rFonts w:ascii="Arial" w:eastAsia="Calibri" w:hAnsi="Arial" w:cs="Arial"/>
          <w:b/>
          <w:u w:val="single"/>
        </w:rPr>
        <w:t>II – ANÁLISE JURÍDICA</w:t>
      </w:r>
    </w:p>
    <w:p w14:paraId="4687177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D51BAD">
        <w:rPr>
          <w:rFonts w:ascii="Arial" w:eastAsia="Calibri" w:hAnsi="Arial" w:cs="Arial"/>
          <w:b/>
        </w:rPr>
        <w:t xml:space="preserve"> </w:t>
      </w:r>
    </w:p>
    <w:p w14:paraId="479C8D7E" w14:textId="77777777" w:rsidR="00C619AF" w:rsidRPr="00D51BAD" w:rsidRDefault="00C619AF" w:rsidP="00D51BAD">
      <w:pPr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Quanto ao rito processual, o projeto tramita sem regime de urgência. </w:t>
      </w:r>
    </w:p>
    <w:p w14:paraId="5BED035F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2EA7433B" w14:textId="77777777" w:rsidR="00C619AF" w:rsidRPr="00D51BAD" w:rsidRDefault="00C619AF" w:rsidP="00D51BAD">
      <w:pPr>
        <w:pStyle w:val="LO-normal"/>
        <w:rPr>
          <w:rFonts w:ascii="Arial" w:hAnsi="Arial" w:cs="Arial"/>
          <w:b/>
        </w:rPr>
      </w:pPr>
      <w:r w:rsidRPr="00D51BAD">
        <w:rPr>
          <w:rFonts w:ascii="Arial" w:hAnsi="Arial" w:cs="Arial"/>
          <w:b/>
        </w:rPr>
        <w:t>Da Competência e iniciativa</w:t>
      </w:r>
    </w:p>
    <w:p w14:paraId="61CB019A" w14:textId="77777777" w:rsidR="00C619AF" w:rsidRPr="00D51BAD" w:rsidRDefault="00C619AF" w:rsidP="00D51BAD">
      <w:pPr>
        <w:pStyle w:val="LO-normal"/>
        <w:rPr>
          <w:rFonts w:ascii="Arial" w:hAnsi="Arial" w:cs="Arial"/>
          <w:b/>
        </w:rPr>
      </w:pPr>
    </w:p>
    <w:p w14:paraId="4409629D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51C532EC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  <w:r w:rsidRPr="00D51BAD">
        <w:rPr>
          <w:rFonts w:ascii="Arial" w:hAnsi="Arial" w:cs="Arial"/>
          <w:i/>
        </w:rPr>
        <w:t>“Art. 30. Compete aos Municípios:</w:t>
      </w:r>
    </w:p>
    <w:p w14:paraId="153F5A02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  <w:r w:rsidRPr="00D51BAD">
        <w:rPr>
          <w:rFonts w:ascii="Arial" w:hAnsi="Arial" w:cs="Arial"/>
          <w:i/>
        </w:rPr>
        <w:t xml:space="preserve">I - </w:t>
      </w:r>
      <w:proofErr w:type="gramStart"/>
      <w:r w:rsidRPr="00D51BAD">
        <w:rPr>
          <w:rFonts w:ascii="Arial" w:hAnsi="Arial" w:cs="Arial"/>
          <w:i/>
        </w:rPr>
        <w:t>legislar</w:t>
      </w:r>
      <w:proofErr w:type="gramEnd"/>
      <w:r w:rsidRPr="00D51BAD">
        <w:rPr>
          <w:rFonts w:ascii="Arial" w:hAnsi="Arial" w:cs="Arial"/>
          <w:i/>
        </w:rPr>
        <w:t xml:space="preserve"> sobre assuntos de interesse local; [...]</w:t>
      </w:r>
    </w:p>
    <w:p w14:paraId="3A6CC323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</w:p>
    <w:p w14:paraId="7986E955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1FC02485" w14:textId="556E4E91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  <w:i/>
          <w:iCs/>
        </w:rPr>
      </w:pPr>
      <w:r w:rsidRPr="00D51BAD">
        <w:rPr>
          <w:rFonts w:ascii="Arial" w:hAnsi="Arial" w:cs="Arial"/>
        </w:rPr>
        <w:t xml:space="preserve">Quanto ao objeto, o projeto visa </w:t>
      </w:r>
      <w:r w:rsidR="00D51BAD" w:rsidRPr="00D51BAD">
        <w:rPr>
          <w:rFonts w:ascii="Arial" w:hAnsi="Arial" w:cs="Arial"/>
        </w:rPr>
        <w:t>alterar o Código de Posturas para responsabilizar as empresas provedoras de internet no que diz respeito à manutenção das linhas de transmissão de sinais, devendo alinhar e retirar os fios e cabos não utilizados</w:t>
      </w:r>
      <w:r w:rsidR="00FA4401" w:rsidRPr="00D51BAD">
        <w:rPr>
          <w:rFonts w:ascii="Arial" w:hAnsi="Arial" w:cs="Arial"/>
        </w:rPr>
        <w:t>.</w:t>
      </w:r>
    </w:p>
    <w:p w14:paraId="2945B86B" w14:textId="77777777" w:rsidR="00C619AF" w:rsidRDefault="00C619AF" w:rsidP="00D51BAD">
      <w:pPr>
        <w:pStyle w:val="LO-normal"/>
        <w:ind w:firstLine="851"/>
        <w:rPr>
          <w:rFonts w:ascii="Arial" w:hAnsi="Arial" w:cs="Arial"/>
          <w:b/>
          <w:u w:val="single"/>
        </w:rPr>
      </w:pPr>
    </w:p>
    <w:p w14:paraId="607CCE4D" w14:textId="77777777" w:rsidR="00D51BAD" w:rsidRDefault="00D51BAD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br w:type="page"/>
      </w:r>
    </w:p>
    <w:p w14:paraId="72C099E4" w14:textId="67591B65" w:rsidR="00C619AF" w:rsidRPr="00D51BAD" w:rsidRDefault="00C619AF" w:rsidP="00D51BAD">
      <w:pPr>
        <w:pStyle w:val="LO-normal"/>
        <w:rPr>
          <w:rFonts w:ascii="Arial" w:hAnsi="Arial" w:cs="Arial"/>
        </w:rPr>
      </w:pPr>
      <w:r w:rsidRPr="00D51BAD">
        <w:rPr>
          <w:rFonts w:ascii="Arial" w:hAnsi="Arial" w:cs="Arial"/>
          <w:b/>
          <w:u w:val="single"/>
        </w:rPr>
        <w:lastRenderedPageBreak/>
        <w:t>III – CONCLUSÃO</w:t>
      </w:r>
      <w:r w:rsidRPr="00D51BAD">
        <w:rPr>
          <w:rFonts w:ascii="Arial" w:hAnsi="Arial" w:cs="Arial"/>
          <w:b/>
        </w:rPr>
        <w:t xml:space="preserve"> </w:t>
      </w:r>
    </w:p>
    <w:p w14:paraId="61DCA26F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</w:p>
    <w:p w14:paraId="685057A9" w14:textId="7313C78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Assim sendo, esta Assessoria Jurídica opina pela </w:t>
      </w:r>
      <w:r w:rsidRPr="00D51BAD">
        <w:rPr>
          <w:rFonts w:ascii="Arial" w:hAnsi="Arial" w:cs="Arial"/>
          <w:b/>
          <w:i/>
        </w:rPr>
        <w:t xml:space="preserve">legalidade </w:t>
      </w:r>
      <w:r w:rsidRPr="00D51BAD">
        <w:rPr>
          <w:rFonts w:ascii="Arial" w:hAnsi="Arial" w:cs="Arial"/>
        </w:rPr>
        <w:t>e</w:t>
      </w:r>
      <w:r w:rsidRPr="00D51BAD">
        <w:rPr>
          <w:rFonts w:ascii="Arial" w:hAnsi="Arial" w:cs="Arial"/>
          <w:b/>
          <w:i/>
        </w:rPr>
        <w:t xml:space="preserve"> constitucionalidade</w:t>
      </w:r>
      <w:r w:rsidRPr="00D51BAD">
        <w:rPr>
          <w:rFonts w:ascii="Arial" w:hAnsi="Arial" w:cs="Arial"/>
          <w:i/>
        </w:rPr>
        <w:t xml:space="preserve"> </w:t>
      </w:r>
      <w:r w:rsidRPr="00D51BAD">
        <w:rPr>
          <w:rFonts w:ascii="Arial" w:hAnsi="Arial" w:cs="Arial"/>
        </w:rPr>
        <w:t>do referido Projeto de Lei</w:t>
      </w:r>
      <w:r w:rsidR="00EA6035">
        <w:rPr>
          <w:rFonts w:ascii="Arial" w:hAnsi="Arial" w:cs="Arial"/>
        </w:rPr>
        <w:t xml:space="preserve"> Complementar</w:t>
      </w:r>
      <w:r w:rsidRPr="00D51BAD">
        <w:rPr>
          <w:rFonts w:ascii="Arial" w:hAnsi="Arial" w:cs="Arial"/>
        </w:rPr>
        <w:t>, tendo em vista que não se observou qualquer vício em sua redação.</w:t>
      </w:r>
    </w:p>
    <w:p w14:paraId="6D3FD857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</w:p>
    <w:p w14:paraId="455B7BAA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6B69403C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  <w:r w:rsidRPr="00D51BAD">
        <w:rPr>
          <w:rFonts w:ascii="Arial" w:hAnsi="Arial" w:cs="Arial"/>
        </w:rPr>
        <w:t>Este é o parecer.</w:t>
      </w:r>
    </w:p>
    <w:p w14:paraId="3FD235E8" w14:textId="77777777" w:rsidR="00C619AF" w:rsidRPr="00D51BAD" w:rsidRDefault="00C619AF" w:rsidP="00D51BAD">
      <w:pPr>
        <w:pStyle w:val="LO-normal"/>
        <w:jc w:val="both"/>
        <w:rPr>
          <w:rFonts w:ascii="Arial" w:hAnsi="Arial" w:cs="Arial"/>
        </w:rPr>
      </w:pPr>
    </w:p>
    <w:p w14:paraId="7E6AE5B6" w14:textId="4C13B231" w:rsidR="00C619AF" w:rsidRPr="00D51BAD" w:rsidRDefault="00C619AF" w:rsidP="00D51BAD">
      <w:pPr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Igrejinha, </w:t>
      </w:r>
      <w:r w:rsidR="00D51BAD" w:rsidRPr="00D51BAD">
        <w:rPr>
          <w:rFonts w:ascii="Arial" w:eastAsia="Calibri" w:hAnsi="Arial" w:cs="Arial"/>
        </w:rPr>
        <w:t xml:space="preserve">06 de novembro </w:t>
      </w:r>
      <w:r w:rsidR="00546294" w:rsidRPr="00D51BAD">
        <w:rPr>
          <w:rFonts w:ascii="Arial" w:eastAsia="Calibri" w:hAnsi="Arial" w:cs="Arial"/>
        </w:rPr>
        <w:t>d</w:t>
      </w:r>
      <w:r w:rsidRPr="00D51BAD">
        <w:rPr>
          <w:rFonts w:ascii="Arial" w:eastAsia="Calibri" w:hAnsi="Arial" w:cs="Arial"/>
        </w:rPr>
        <w:t>e 2025.</w:t>
      </w:r>
    </w:p>
    <w:p w14:paraId="65FB6E8D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79CD05BD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496220CA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5490CC69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  <w:r w:rsidRPr="00D51BAD">
        <w:rPr>
          <w:rFonts w:ascii="Arial" w:eastAsia="Calibri" w:hAnsi="Arial" w:cs="Arial"/>
          <w:b/>
        </w:rPr>
        <w:t xml:space="preserve">Anderson Fidelis de Araujo </w:t>
      </w:r>
    </w:p>
    <w:p w14:paraId="51FEA89E" w14:textId="77777777" w:rsidR="00C619AF" w:rsidRPr="00D51BAD" w:rsidRDefault="00C619AF" w:rsidP="00D51BAD">
      <w:pPr>
        <w:ind w:left="590"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Assessor Jurídico</w:t>
      </w:r>
    </w:p>
    <w:p w14:paraId="31979263" w14:textId="77777777" w:rsidR="00C619AF" w:rsidRPr="00D51BAD" w:rsidRDefault="00C619AF" w:rsidP="00D51BAD">
      <w:pPr>
        <w:ind w:left="590"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OAB/RS 58.063.</w:t>
      </w:r>
    </w:p>
    <w:p w14:paraId="427BFC64" w14:textId="77777777" w:rsidR="005B6069" w:rsidRPr="00D51BAD" w:rsidRDefault="005B6069" w:rsidP="00D51BAD">
      <w:pPr>
        <w:jc w:val="both"/>
        <w:rPr>
          <w:rFonts w:ascii="Arial" w:eastAsia="Calibri" w:hAnsi="Arial" w:cs="Arial"/>
          <w:b/>
        </w:rPr>
      </w:pPr>
    </w:p>
    <w:sectPr w:rsidR="005B6069" w:rsidRPr="00D51BAD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26B6B"/>
    <w:rsid w:val="00050C2E"/>
    <w:rsid w:val="000C6923"/>
    <w:rsid w:val="001114D7"/>
    <w:rsid w:val="001C1096"/>
    <w:rsid w:val="001C6AEB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3B6C87"/>
    <w:rsid w:val="003F27F6"/>
    <w:rsid w:val="0051330F"/>
    <w:rsid w:val="00546294"/>
    <w:rsid w:val="005542A3"/>
    <w:rsid w:val="00555915"/>
    <w:rsid w:val="00596DA6"/>
    <w:rsid w:val="005B6069"/>
    <w:rsid w:val="006D40C2"/>
    <w:rsid w:val="006D5D5F"/>
    <w:rsid w:val="006E26A8"/>
    <w:rsid w:val="00746F14"/>
    <w:rsid w:val="007A7AC5"/>
    <w:rsid w:val="0081494A"/>
    <w:rsid w:val="00A94834"/>
    <w:rsid w:val="00AB4493"/>
    <w:rsid w:val="00AD79EC"/>
    <w:rsid w:val="00B37733"/>
    <w:rsid w:val="00B37BBB"/>
    <w:rsid w:val="00B563C5"/>
    <w:rsid w:val="00B67C03"/>
    <w:rsid w:val="00BA2363"/>
    <w:rsid w:val="00BE2FC6"/>
    <w:rsid w:val="00BE3DEB"/>
    <w:rsid w:val="00C34CAC"/>
    <w:rsid w:val="00C619AF"/>
    <w:rsid w:val="00C86642"/>
    <w:rsid w:val="00D15D7E"/>
    <w:rsid w:val="00D51BAD"/>
    <w:rsid w:val="00D77EC3"/>
    <w:rsid w:val="00DC5FDA"/>
    <w:rsid w:val="00DF6FA4"/>
    <w:rsid w:val="00E11D7D"/>
    <w:rsid w:val="00E45877"/>
    <w:rsid w:val="00EA6035"/>
    <w:rsid w:val="00EA72B0"/>
    <w:rsid w:val="00F10FA2"/>
    <w:rsid w:val="00FA4401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349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5</cp:revision>
  <cp:lastPrinted>2025-05-05T21:05:00Z</cp:lastPrinted>
  <dcterms:created xsi:type="dcterms:W3CDTF">2025-11-11T17:34:00Z</dcterms:created>
  <dcterms:modified xsi:type="dcterms:W3CDTF">2025-11-11T17:39:00Z</dcterms:modified>
  <dc:language>pt-BR</dc:language>
</cp:coreProperties>
</file>