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PARECER JURÍDICO N° 30/2026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nº 016/2026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Executivo Municipal</w:t>
      </w:r>
    </w:p>
    <w:p>
      <w:pPr>
        <w:pStyle w:val="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 xml:space="preserve">EMENTA: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Autoriza a isenção de multa e juros moratórios para o pagamento de créditos tributários e não-tributários, inscritos ou não em dívida ativa, na forma específica.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Protocolado em 16/03/2026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24/03/2026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Urgência</w:t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360"/>
        <w:ind w:firstLine="850"/>
        <w:jc w:val="both"/>
        <w:rPr/>
      </w:pPr>
      <w:r>
        <w:rPr>
          <w:rFonts w:eastAsia="Calibri" w:cs="Arial" w:ascii="Arial" w:hAnsi="Arial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>
      <w:pPr>
        <w:pStyle w:val="LOnormal"/>
        <w:widowControl w:val="false"/>
        <w:spacing w:lineRule="auto" w:line="360"/>
        <w:ind w:firstLine="850"/>
        <w:jc w:val="both"/>
        <w:rPr/>
      </w:pPr>
      <w:r>
        <w:rPr>
          <w:rFonts w:eastAsia="Calibri" w:cs="Arial" w:ascii="Arial" w:hAnsi="Arial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360"/>
        <w:ind w:firstLine="850"/>
        <w:jc w:val="both"/>
        <w:rPr/>
      </w:pPr>
      <w:r>
        <w:rPr>
          <w:rFonts w:eastAsia="Calibri" w:cs="Arial" w:ascii="Arial" w:hAnsi="Arial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36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36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360"/>
        <w:jc w:val="both"/>
        <w:rPr/>
      </w:pPr>
      <w:r>
        <w:rPr>
          <w:rFonts w:eastAsia="Calibri" w:cs="Arial" w:ascii="Arial" w:hAnsi="Arial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36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360"/>
        <w:ind w:firstLine="850"/>
        <w:jc w:val="both"/>
        <w:rPr>
          <w:b w:val="false"/>
          <w:b w:val="false"/>
          <w:bCs w:val="false"/>
          <w:u w:val="none"/>
        </w:rPr>
      </w:pPr>
      <w:r>
        <w:rPr>
          <w:rFonts w:eastAsia="Calibri" w:cs="Arial" w:ascii="Arial" w:hAnsi="Arial"/>
          <w:b w:val="false"/>
          <w:bCs w:val="false"/>
          <w:u w:val="none"/>
        </w:rPr>
        <w:t>Quanto ao rito processual, o Executivo Municipal efetuou solicitação de urgência de forma justificada, motivo pelo qual a matéria tramita em regime de urgência.</w:t>
      </w:r>
    </w:p>
    <w:p>
      <w:pPr>
        <w:pStyle w:val="Normal"/>
        <w:widowControl w:val="false"/>
        <w:spacing w:lineRule="auto" w:line="360"/>
        <w:ind w:firstLine="850"/>
        <w:jc w:val="both"/>
        <w:rPr/>
      </w:pPr>
      <w:r>
        <w:rPr/>
      </w:r>
    </w:p>
    <w:p>
      <w:pPr>
        <w:pStyle w:val="LOnormal"/>
        <w:widowControl w:val="false"/>
        <w:spacing w:lineRule="auto" w:line="360"/>
        <w:jc w:val="both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Normal"/>
        <w:widowControl w:val="false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  <w:t>Da Competência e iniciativa</w:t>
      </w:r>
    </w:p>
    <w:p>
      <w:pPr>
        <w:pStyle w:val="Normal"/>
        <w:widowControl w:val="false"/>
        <w:spacing w:lineRule="auto" w:line="36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 xml:space="preserve">Em primeiro momento analisamos a competência do referido Projeto de Lei, e, portanto, cumpre dizer que este Projeto tem a utilização legítima da competência legislativa disposta para os Municípios no inciso I, do art. 30, da CF/88, como segue: </w:t>
      </w:r>
    </w:p>
    <w:p>
      <w:pPr>
        <w:pStyle w:val="Normal"/>
        <w:spacing w:lineRule="auto" w:line="360"/>
        <w:ind w:firstLine="851"/>
        <w:jc w:val="both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Normal"/>
        <w:shd w:val="clear" w:color="auto" w:fill="FFFFFF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i/>
          <w:sz w:val="24"/>
          <w:szCs w:val="24"/>
        </w:rPr>
        <w:t>“</w:t>
      </w:r>
      <w:r>
        <w:rPr>
          <w:rFonts w:eastAsia="Calibri" w:cs="Calibri" w:ascii="Arial" w:hAnsi="Arial"/>
          <w:i/>
          <w:sz w:val="24"/>
          <w:szCs w:val="24"/>
        </w:rPr>
        <w:t>Art. 30. Compete aos Municípios:</w:t>
      </w:r>
    </w:p>
    <w:p>
      <w:pPr>
        <w:pStyle w:val="Normal"/>
        <w:shd w:val="clear" w:color="auto" w:fill="FFFFFF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i/>
          <w:sz w:val="24"/>
          <w:szCs w:val="24"/>
        </w:rPr>
        <w:t>I - legislar sobre assuntos de interesse local;</w:t>
      </w:r>
      <w:r>
        <w:rPr>
          <w:rFonts w:eastAsia="Calibri" w:cs="Calibri" w:ascii="Arial" w:hAnsi="Arial"/>
          <w:i/>
          <w:sz w:val="24"/>
          <w:szCs w:val="24"/>
          <w:highlight w:val="white"/>
        </w:rPr>
        <w:t>”</w:t>
      </w:r>
    </w:p>
    <w:p>
      <w:pPr>
        <w:pStyle w:val="Normal"/>
        <w:shd w:val="clear" w:color="auto" w:fill="FFFFFF"/>
        <w:ind w:left="2267" w:firstLine="360"/>
        <w:jc w:val="both"/>
        <w:rPr>
          <w:rFonts w:ascii="Arial" w:hAnsi="Arial" w:eastAsia="Calibri" w:cs="Calibri"/>
          <w:i/>
          <w:i/>
          <w:sz w:val="24"/>
          <w:szCs w:val="24"/>
          <w:highlight w:val="white"/>
        </w:rPr>
      </w:pPr>
      <w:r>
        <w:rPr>
          <w:rFonts w:eastAsia="Calibri" w:cs="Calibri" w:ascii="Arial" w:hAnsi="Arial"/>
          <w:i/>
          <w:sz w:val="24"/>
          <w:szCs w:val="24"/>
          <w:highlight w:val="white"/>
        </w:rPr>
      </w:r>
    </w:p>
    <w:p>
      <w:pPr>
        <w:pStyle w:val="Normal"/>
        <w:spacing w:lineRule="auto" w:line="360"/>
        <w:ind w:firstLine="851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 xml:space="preserve">A Constituição Federal discorre sobre o assunto na alínea “b”, do inciso II, do §1º, do art. 61, que assim aduz: </w:t>
      </w:r>
    </w:p>
    <w:p>
      <w:pPr>
        <w:pStyle w:val="Normal"/>
        <w:shd w:val="clear" w:color="auto" w:fill="FFFFFF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i/>
          <w:sz w:val="24"/>
          <w:szCs w:val="24"/>
        </w:rPr>
        <w:t>“</w:t>
      </w:r>
      <w:r>
        <w:rPr>
          <w:rFonts w:eastAsia="Calibri" w:cs="Calibri" w:ascii="Arial" w:hAnsi="Arial"/>
          <w:i/>
          <w:sz w:val="24"/>
          <w:szCs w:val="24"/>
        </w:rPr>
        <w:t>Art. 61. A iniciativa das leis complementares e ordinárias cabe a qualquer membro ou Comissão da Câmara dos Deputados, do Senado Federal ou do Congresso Nacional, ao Presidente da República, ao Supremo Tribunal Federal, aos Tribunais Superiores, ao Procurador-Geral da República e aos cidadãos, na forma e nos casos previstos nesta Constituição.</w:t>
      </w:r>
    </w:p>
    <w:p>
      <w:pPr>
        <w:pStyle w:val="Normal"/>
        <w:shd w:val="clear" w:color="auto" w:fill="FFFFFF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i/>
          <w:sz w:val="24"/>
          <w:szCs w:val="24"/>
        </w:rPr>
        <w:t>§ 1º São de iniciativa privativa do Presidente da República as leis que: [..]</w:t>
      </w:r>
    </w:p>
    <w:p>
      <w:pPr>
        <w:pStyle w:val="Normal"/>
        <w:shd w:val="clear" w:color="auto" w:fill="FFFFFF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i/>
          <w:sz w:val="24"/>
          <w:szCs w:val="24"/>
          <w:highlight w:val="white"/>
        </w:rPr>
        <w:t>II - disponham sobre: [...]</w:t>
      </w:r>
    </w:p>
    <w:p>
      <w:pPr>
        <w:pStyle w:val="Normal"/>
        <w:shd w:val="clear" w:color="auto" w:fill="FFFFFF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Arial" w:cs="Arial" w:ascii="Arial" w:hAnsi="Arial"/>
          <w:i/>
          <w:sz w:val="24"/>
          <w:szCs w:val="24"/>
          <w:highlight w:val="white"/>
        </w:rPr>
        <w:t>b) organização administrativa e judiciária, matéria tributária e orçamentária, serviços públicos e pessoal da administração dos Territórios;</w:t>
      </w:r>
      <w:r>
        <w:rPr>
          <w:rFonts w:eastAsia="Calibri" w:cs="Calibri" w:ascii="Arial" w:hAnsi="Arial"/>
          <w:i/>
          <w:sz w:val="24"/>
          <w:szCs w:val="24"/>
          <w:highlight w:val="white"/>
        </w:rPr>
        <w:t>”</w:t>
      </w:r>
    </w:p>
    <w:p>
      <w:pPr>
        <w:pStyle w:val="Normal"/>
        <w:widowControl w:val="false"/>
        <w:spacing w:lineRule="auto" w:line="360"/>
        <w:ind w:firstLine="850"/>
        <w:jc w:val="both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Normal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>Desta forma, pela legislação vigente, fica claro que o Executivo tem a legalidade de propor o presente Projeto de Lei, havendo constitucionalidade, juridicidade e regimentalidade.</w:t>
      </w:r>
    </w:p>
    <w:p>
      <w:pPr>
        <w:pStyle w:val="Normal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>Cabe observar que o projeto é similar a programas já autorizados pela câmara em anos anteriores, a exemplo das Leis Municipais 5.826/2025, 5731/2025 e 5651/2023,  caracterizando em ação do Executivo Municipal para recuperação de Crédito.</w:t>
      </w:r>
    </w:p>
    <w:p>
      <w:pPr>
        <w:pStyle w:val="Normal"/>
        <w:spacing w:lineRule="auto" w:line="360"/>
        <w:ind w:firstLine="850"/>
        <w:jc w:val="both"/>
        <w:rPr/>
      </w:pPr>
      <w:r>
        <w:rPr>
          <w:rStyle w:val="Strong"/>
          <w:rFonts w:eastAsia="Calibri" w:cs="Calibri" w:ascii="Arial" w:hAnsi="Arial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Verifica-se que as vantagens oferecidas em forma de descontos não são relacionadas à dívida principal e sim em relação ao acessório (juros moratórios e multa) situação que não caracteriza renúncia de receita. </w:t>
      </w:r>
    </w:p>
    <w:p>
      <w:pPr>
        <w:pStyle w:val="Normal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>Além disso, tratando-se de programa de recuperação de crédito, o desconto ofertado é compensado pela redução da inadimplência, havendo impacto positivo às contas públicas com o aumento da arrecadação.</w:t>
      </w:r>
    </w:p>
    <w:p>
      <w:pPr>
        <w:pStyle w:val="Normal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 xml:space="preserve">Em face da matéria, o projeto demanda manifestação da </w:t>
      </w:r>
      <w:r>
        <w:rPr>
          <w:rFonts w:ascii="Arial" w:hAnsi="Arial"/>
          <w:sz w:val="24"/>
          <w:szCs w:val="24"/>
        </w:rPr>
        <w:t>Comissão de Orçamento, Finanças e Contas Públicas</w:t>
      </w:r>
      <w:r>
        <w:rPr>
          <w:rFonts w:eastAsia="Calibri" w:cs="Calibri" w:ascii="Arial" w:hAnsi="Arial"/>
          <w:sz w:val="24"/>
          <w:szCs w:val="24"/>
        </w:rPr>
        <w:t>, conforme art. 53, II  do Regimento Interno:</w:t>
      </w:r>
    </w:p>
    <w:p>
      <w:pPr>
        <w:pStyle w:val="Normal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 xml:space="preserve">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>Art. 53. Compete à Comissão de Finanças, Orçamento e Contas Públicas:   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 xml:space="preserve">(...)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>II - Quanto à área de Finanças:   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>a) manifestar-se sobre: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i/>
          <w:iCs/>
          <w:sz w:val="24"/>
          <w:szCs w:val="24"/>
        </w:rPr>
        <w:t>1. tributos, bem como incentivos, benefícios e isenções de natureza tributária;</w:t>
      </w:r>
    </w:p>
    <w:p>
      <w:pPr>
        <w:pStyle w:val="Normal"/>
        <w:spacing w:lineRule="auto" w:line="360"/>
        <w:jc w:val="both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  <w:u w:val="single"/>
        </w:rPr>
        <w:t>III – CONCLUSÃO</w:t>
      </w:r>
      <w:r>
        <w:rPr>
          <w:rFonts w:eastAsia="Calibri" w:cs="Calibri" w:ascii="Arial" w:hAnsi="Arial"/>
          <w:b/>
          <w:sz w:val="24"/>
          <w:szCs w:val="24"/>
        </w:rPr>
        <w:t xml:space="preserve"> </w:t>
      </w:r>
    </w:p>
    <w:p>
      <w:pPr>
        <w:pStyle w:val="Normal"/>
        <w:spacing w:lineRule="auto" w:line="360"/>
        <w:ind w:firstLine="850"/>
        <w:jc w:val="both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Normal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>Diante de todo o exposto, do ponto de vista de constitucionalidade e juridicidade, a Procuradoria Jurídica OPINA pela viabilidade do Projeto de Lei em questão.</w:t>
      </w:r>
    </w:p>
    <w:p>
      <w:pPr>
        <w:pStyle w:val="Normal"/>
        <w:spacing w:lineRule="auto" w:line="360"/>
        <w:ind w:firstLine="850"/>
        <w:jc w:val="both"/>
        <w:rPr>
          <w:rFonts w:ascii="Arial" w:hAnsi="Arial"/>
          <w:b w:val="false"/>
          <w:b w:val="false"/>
          <w:bCs w:val="false"/>
          <w:sz w:val="24"/>
          <w:szCs w:val="24"/>
          <w:u w:val="none"/>
        </w:rPr>
      </w:pPr>
      <w:r>
        <w:rPr>
          <w:rFonts w:eastAsia="Calibri" w:cs="Calibri" w:ascii="Arial" w:hAnsi="Arial" w:cstheme="majorHAnsi"/>
          <w:b w:val="false"/>
          <w:bCs w:val="false"/>
          <w:sz w:val="24"/>
          <w:szCs w:val="24"/>
          <w:u w:val="none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24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>Igrejinha, 26 de março 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spacing w:lineRule="auto" w:line="24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4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Application>LibreOffice/7.4.0.3$Windows_X86_64 LibreOffice_project/f85e47c08ddd19c015c0114a68350214f7066f5a</Application>
  <AppVersion>15.0000</AppVersion>
  <Pages>3</Pages>
  <Words>567</Words>
  <Characters>3200</Characters>
  <CharactersWithSpaces>3744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dcterms:modified xsi:type="dcterms:W3CDTF">2026-03-27T11:10:45Z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