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>DE ORÇAMENTO, FINANÇAS E CONTAS PÚBLICAS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LOnormal"/>
        <w:keepNext w:val="true"/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>PARECER N° 01</w:t>
      </w:r>
      <w:r>
        <w:rPr>
          <w:rFonts w:eastAsia="Calibri" w:ascii="Arial" w:hAnsi="Arial"/>
          <w:b/>
          <w:color w:val="000000"/>
        </w:rPr>
        <w:t>5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LOnormal"/>
        <w:jc w:val="center"/>
        <w:rPr>
          <w:rFonts w:ascii="Arial" w:hAnsi="Arial"/>
        </w:rPr>
      </w:pPr>
      <w:r>
        <w:rPr/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nº 01</w:t>
      </w:r>
      <w:r>
        <w:rPr>
          <w:rFonts w:eastAsia="Calibri" w:cs="Arial" w:ascii="Arial" w:hAnsi="Arial"/>
          <w:b/>
          <w:color w:val="000000"/>
          <w:sz w:val="24"/>
          <w:szCs w:val="24"/>
        </w:rPr>
        <w:t>6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>Executivo Municipal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Autoriza a isenção de multa e juros moratórios para o pagamento de créditos tributários e não-tributários, inscritos ou não em dívida ativa, na forma específica.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16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24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 xml:space="preserve">Rito </w:t>
      </w: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Urgência</w:t>
      </w:r>
    </w:p>
    <w:p>
      <w:pPr>
        <w:pStyle w:val="Normal"/>
        <w:jc w:val="both"/>
        <w:rPr>
          <w:rFonts w:ascii="Arial" w:hAnsi="Arial" w:cs="Calibri" w:cstheme="majorHAnsi"/>
        </w:rPr>
      </w:pPr>
      <w:r>
        <w:rPr>
          <w:rFonts w:cs="Calibri" w:cstheme="majorHAnsi" w:ascii="Arial" w:hAnsi="Arial"/>
        </w:rPr>
      </w:r>
    </w:p>
    <w:p>
      <w:pPr>
        <w:pStyle w:val="LOnormal0"/>
        <w:jc w:val="center"/>
        <w:rPr>
          <w:rFonts w:ascii="Arial" w:hAnsi="Arial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A Comissão de Orçamento, Finanças e Contas Públicas analisou a </w:t>
      </w:r>
      <w:r>
        <w:rPr>
          <w:rFonts w:eastAsia="Calibri" w:cs="Arial" w:ascii="Arial" w:hAnsi="Arial"/>
        </w:rPr>
        <w:t>Mensagem Retificativa do</w:t>
      </w:r>
      <w:r>
        <w:rPr>
          <w:rFonts w:eastAsia="Calibri" w:cs="Arial" w:ascii="Arial" w:hAnsi="Arial"/>
        </w:rPr>
        <w:t xml:space="preserve"> </w:t>
      </w:r>
      <w:r>
        <w:rPr>
          <w:rFonts w:eastAsia="Calibri" w:ascii="Arial" w:hAnsi="Arial"/>
        </w:rPr>
        <w:t>Projeto de Lei em questão. O projeto aborda matéria orçamentária, motivo pelo qual o encaminhamento atende o artigo 52 do Regimento Interno da Câmara de Vereadores.</w:t>
      </w:r>
    </w:p>
    <w:p>
      <w:pPr>
        <w:pStyle w:val="Normal"/>
        <w:spacing w:lineRule="auto" w:line="240" w:before="0" w:after="0"/>
        <w:ind w:firstLine="850"/>
        <w:jc w:val="both"/>
        <w:rPr>
          <w:rFonts w:ascii="Arial" w:hAnsi="Arial"/>
        </w:rPr>
      </w:pPr>
      <w:r>
        <w:rPr>
          <w:rFonts w:eastAsia="Calibri" w:cs="Calibri" w:ascii="Arial" w:hAnsi="Arial"/>
          <w:sz w:val="24"/>
          <w:szCs w:val="24"/>
        </w:rPr>
        <w:t>Conforme parecer jurídico, o projeto é similar a programas já autorizados pelo Legislativo em anos anteriores, caracterizando em ação do Executivo Municipal para recuperação de Crédito.</w:t>
      </w:r>
    </w:p>
    <w:p>
      <w:pPr>
        <w:pStyle w:val="Normal"/>
        <w:spacing w:lineRule="auto" w:line="240" w:before="0" w:after="0"/>
        <w:ind w:firstLine="850"/>
        <w:jc w:val="both"/>
        <w:rPr/>
      </w:pPr>
      <w:r>
        <w:rPr>
          <w:rStyle w:val="Strong"/>
          <w:rFonts w:eastAsia="Calibri" w:cs="Calibri" w:ascii="Arial" w:hAnsi="Aria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Verifica-se que as vantagens oferecidas em forma de descontos não são relacionadas à dívida principal e sim em relação ao acessório (juros moratórios e multa) situação que não caracteriza renúncia de receita. </w:t>
      </w:r>
    </w:p>
    <w:p>
      <w:pPr>
        <w:pStyle w:val="Normal"/>
        <w:spacing w:lineRule="auto" w:line="240" w:before="0" w:after="0"/>
        <w:ind w:firstLine="850"/>
        <w:jc w:val="both"/>
        <w:rPr>
          <w:rFonts w:ascii="Arial" w:hAnsi="Arial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Além disso, tratando-se de programa de recuperação de crédito, o desconto ofertado é compensado pela redução da inadimplência,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situação já comprovada nos programas anteriores, </w:t>
      </w:r>
      <w:r>
        <w:rPr>
          <w:rFonts w:eastAsia="Calibri" w:cs="Calibri" w:ascii="Arial" w:hAnsi="Arial"/>
          <w:sz w:val="24"/>
          <w:szCs w:val="24"/>
          <w:shd w:fill="auto" w:val="clear"/>
        </w:rPr>
        <w:t>havendo impacto positivo às contas públicas com o aumento da arrecadação.</w:t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A proposta é de iniciativa do Executivo, e atende os requisitos legais e formais, não havendo divergências e inconformidades a serem apontadas, motivo pelo qual </w:t>
      </w:r>
      <w:r>
        <w:rPr>
          <w:rFonts w:ascii="Arial" w:hAnsi="Arial"/>
        </w:rPr>
        <w:t>esta Comissão, resolve emitir, d</w:t>
      </w:r>
      <w:r>
        <w:rPr>
          <w:rFonts w:ascii="Arial" w:hAnsi="Arial"/>
        </w:rPr>
        <w:t xml:space="preserve">e forma conjunta, </w:t>
      </w:r>
      <w:r>
        <w:rPr>
          <w:rFonts w:ascii="Arial" w:hAnsi="Arial"/>
          <w:b/>
          <w:bCs/>
        </w:rPr>
        <w:t>PARECER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</w:rPr>
        <w:t>FAVORÁVEL À TRAMITAÇÃO do presente Projeto de Lei.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cs="Arial" w:ascii="Arial" w:hAnsi="Arial"/>
          <w:sz w:val="24"/>
          <w:szCs w:val="24"/>
        </w:rPr>
        <w:t>Igrejinha, 2</w:t>
      </w:r>
      <w:r>
        <w:rPr>
          <w:rFonts w:eastAsia="Calibri" w:cs="Arial" w:ascii="Arial" w:hAnsi="Arial"/>
          <w:sz w:val="24"/>
          <w:szCs w:val="24"/>
        </w:rPr>
        <w:t>6</w:t>
      </w:r>
      <w:r>
        <w:rPr>
          <w:rFonts w:eastAsia="Calibri" w:cs="Arial" w:ascii="Arial" w:hAnsi="Arial"/>
          <w:sz w:val="24"/>
          <w:szCs w:val="24"/>
        </w:rPr>
        <w:t xml:space="preserve"> de </w:t>
      </w:r>
      <w:r>
        <w:rPr>
          <w:rFonts w:eastAsia="Calibri" w:cs="Arial" w:ascii="Arial" w:hAnsi="Arial"/>
          <w:sz w:val="24"/>
          <w:szCs w:val="24"/>
        </w:rPr>
        <w:t xml:space="preserve">março </w:t>
      </w:r>
      <w:r>
        <w:rPr>
          <w:rFonts w:eastAsia="Calibri" w:cs="Arial" w:ascii="Arial" w:hAnsi="Arial"/>
          <w:sz w:val="24"/>
          <w:szCs w:val="24"/>
        </w:rPr>
        <w:t>de 2026.</w:t>
      </w:r>
    </w:p>
    <w:p>
      <w:pPr>
        <w:pStyle w:val="LOnormal0"/>
        <w:ind w:firstLine="851"/>
        <w:jc w:val="both"/>
        <w:rPr>
          <w:rFonts w:ascii="Arial" w:hAnsi="Arial" w:eastAsia="Calibri" w:cs="Calibri"/>
        </w:rPr>
      </w:pPr>
      <w:r>
        <w:rPr>
          <w:rFonts w:eastAsia="Calibri" w:cs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Vereador </w:t>
      </w:r>
      <w:r>
        <w:rPr>
          <w:rFonts w:eastAsia="Calibri" w:cs="Courier New" w:ascii="Arial" w:hAnsi="Arial"/>
          <w:b/>
          <w:szCs w:val="24"/>
        </w:rPr>
        <w:t>PATRICIA SILVANA WALLAUER</w:t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Presidente da COFCP </w:t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>
          <w:rFonts w:cs="Courier New" w:ascii="Arial" w:hAnsi="Arial"/>
        </w:rPr>
        <w:t>Vereador</w:t>
      </w:r>
      <w:r>
        <w:rPr>
          <w:rFonts w:cs="Courier New" w:ascii="Arial" w:hAnsi="Arial"/>
          <w:b/>
        </w:rPr>
        <w:t xml:space="preserve">  </w:t>
      </w:r>
      <w:r>
        <w:rPr>
          <w:rFonts w:cs="Courier New" w:ascii="Arial" w:hAnsi="Arial"/>
          <w:b/>
          <w:szCs w:val="24"/>
        </w:rPr>
        <w:t>ANA MARIA DE OLIVEIRA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>
          <w:rFonts w:eastAsia="Calibri" w:cs="Courier New" w:ascii="Arial" w:hAnsi="Arial"/>
        </w:rPr>
        <w:t>Vice-Presidente da</w:t>
      </w:r>
      <w:r>
        <w:rPr>
          <w:rFonts w:eastAsia="Calibri" w:cs="Courier New" w:ascii="Arial" w:hAnsi="Arial"/>
          <w:sz w:val="24"/>
          <w:szCs w:val="24"/>
        </w:rPr>
        <w:t xml:space="preserve"> COFCP  </w:t>
      </w:r>
      <w:r>
        <w:rPr>
          <w:rFonts w:eastAsia="Calibri" w:cs="Arial" w:ascii="Arial" w:hAnsi="Arial"/>
          <w:sz w:val="22"/>
          <w:szCs w:val="22"/>
        </w:rPr>
        <w:t>e Relatora do Projeto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 w:eastAsia="Calibri" w:cs="Courier New"/>
        </w:rPr>
      </w:pPr>
      <w:r>
        <w:rPr>
          <w:rFonts w:eastAsia="Calibri" w:cs="Courier New" w:ascii="Arial" w:hAnsi="Arial"/>
        </w:rPr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 w:eastAsia="Calibri" w:cs="Courier New"/>
        </w:rPr>
      </w:pPr>
      <w:r>
        <w:rPr>
          <w:rFonts w:eastAsia="Calibri" w:cs="Courier New" w:ascii="Arial" w:hAnsi="Arial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Vereador </w:t>
      </w:r>
      <w:r>
        <w:rPr>
          <w:rFonts w:eastAsia="Calibri" w:cs="Calibri" w:ascii="Arial" w:hAnsi="Arial"/>
          <w:b/>
          <w:szCs w:val="24"/>
        </w:rPr>
        <w:t>NEIMAR LUIZ PARREIRA</w:t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>Secretário da COFCP</w:t>
      </w:r>
      <w:r>
        <w:rPr>
          <w:rFonts w:eastAsia="Calibri" w:cs="Arial" w:ascii="Arial" w:hAnsi="Arial"/>
          <w:sz w:val="22"/>
          <w:szCs w:val="22"/>
        </w:rPr>
        <w:t xml:space="preserve">  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41910</wp:posOffset>
          </wp:positionH>
          <wp:positionV relativeFrom="paragraph">
            <wp:posOffset>-53340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65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Application>LibreOffice/7.4.0.3$Windows_X86_64 LibreOffice_project/f85e47c08ddd19c015c0114a68350214f7066f5a</Application>
  <AppVersion>15.0000</AppVersion>
  <Pages>1</Pages>
  <Words>289</Words>
  <Characters>1687</Characters>
  <CharactersWithSpaces>1958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2025-12-02T16:18:00Z</dcterms:created>
  <dc:creator>Anderson Araujo</dc:creator>
  <dc:description/>
  <dc:language>pt-BR</dc:language>
  <cp:lastModifiedBy/>
  <cp:lastPrinted>2025-07-29T19:48:00Z</cp:lastPrinted>
  <dcterms:modified xsi:type="dcterms:W3CDTF">2026-03-27T10:59:58Z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