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31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  <w:lang w:val="pt-BR"/>
        </w:rPr>
        <w:t>“Abre Crédito Adicional Especial no valor de R$ 3.696.750,00 (três milhões, seiscentos e noventa e seis mil, setecentos e cinquenta reais), que especifica”.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06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07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LOnormal0"/>
        <w:jc w:val="center"/>
        <w:rPr>
          <w:rFonts w:ascii="Calibri" w:hAnsi="Calibri" w:cs="Calibri" w:asciiTheme="majorHAnsi" w:cstheme="majorHAnsi" w:hAnsiTheme="majorHAnsi"/>
          <w:lang w:bidi="ar-SA"/>
        </w:rPr>
      </w:pPr>
      <w:r>
        <w:rPr>
          <w:rFonts w:cs="Calibri" w:cstheme="majorHAnsi" w:ascii="Calibri" w:hAnsi="Calibri"/>
          <w:lang w:bidi="ar-SA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Quanto a matéria, o projeto tem por objetivo promover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alteração no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orçamento municipal, abrindo crédito adicional especial no valor de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>R$ 3.696.750,00, que será custeado com superávit financeiro do exercício anterior.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</w:rPr>
        <w:t>A proposta atende os requi</w:t>
      </w:r>
      <w:r>
        <w:rPr>
          <w:rFonts w:eastAsia="Calibri" w:ascii="Arial" w:hAnsi="Arial"/>
        </w:rPr>
        <w:t xml:space="preserve">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eastAsia="Calibri" w:ascii="Arial" w:hAnsi="Arial"/>
          <w:b/>
          <w:bCs/>
        </w:rPr>
        <w:t>FAVORÁVEL À TRAMITAÇÃO DO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>Igrejinha, 0</w:t>
      </w:r>
      <w:r>
        <w:rPr>
          <w:rFonts w:eastAsia="Calibri" w:cs="Arial" w:ascii="Arial" w:hAnsi="Arial"/>
          <w:sz w:val="24"/>
          <w:szCs w:val="24"/>
        </w:rPr>
        <w:t>9</w:t>
      </w:r>
      <w:r>
        <w:rPr>
          <w:rFonts w:eastAsia="Calibri" w:cs="Arial" w:ascii="Arial" w:hAnsi="Arial"/>
          <w:sz w:val="24"/>
          <w:szCs w:val="24"/>
        </w:rPr>
        <w:t xml:space="preserve">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 </w:t>
      </w:r>
      <w:r>
        <w:rPr>
          <w:rFonts w:eastAsia="Calibri" w:cs="Calibri" w:ascii="Arial" w:hAnsi="Arial"/>
          <w:b/>
          <w:bCs/>
          <w:sz w:val="24"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Presidente da CIDEBS  </w:t>
      </w:r>
      <w:r>
        <w:rPr>
          <w:rFonts w:eastAsia="Calibri" w:cs="Arial" w:ascii="Arial" w:hAnsi="Arial"/>
          <w:sz w:val="24"/>
          <w:szCs w:val="24"/>
        </w:rPr>
        <w:t>e Relator do Projeto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MAXWELL LUIS DE MATOS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Vice-Presidente da CIDEBS   </w:t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Vereadora </w:t>
      </w:r>
      <w:r>
        <w:rPr>
          <w:rFonts w:eastAsia="Calibri" w:cs="Calibri" w:ascii="Arial" w:hAnsi="Arial"/>
          <w:b/>
          <w:sz w:val="24"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LibreOffice/7.4.0.3$Windows_X86_64 LibreOffice_project/f85e47c08ddd19c015c0114a68350214f7066f5a</Application>
  <AppVersion>15.0000</AppVersion>
  <Pages>1</Pages>
  <Words>214</Words>
  <Characters>1286</Characters>
  <CharactersWithSpaces>1482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2025-11-19T15:45:00Z</cp:lastPrinted>
  <dcterms:modified xsi:type="dcterms:W3CDTF">2026-04-14T15:17:32Z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