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36/2026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19/2026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“Prorroga o prazo da concessão de direito real de uso autorizada pela Lei Municipal nº 2.448, de 24 de abril de 1997, e dá outras providências.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06/04/2026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Quanto ao rito processual, o Executivo Municipal não efetuou solicitação de urgência, motivo pelo qual a matéria tramita em rito normal.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XXV, do Art. 66  a competência privativa do Prefeito Municipal no tocante à administração dos bens municipais.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  <w:t>“</w:t>
      </w: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Art. 66. </w:t>
      </w:r>
      <w:r>
        <w:rPr>
          <w:rFonts w:ascii="Arial" w:hAnsi="Arial"/>
          <w:i/>
          <w:iCs/>
          <w:sz w:val="20"/>
          <w:szCs w:val="20"/>
        </w:rPr>
        <w:t>Compete privativamente ao Prefeito:</w:t>
      </w:r>
      <w:r>
        <w:rPr>
          <w:rFonts w:eastAsia="Calibri" w:cs="Arial" w:ascii="Arial" w:hAnsi="Arial"/>
          <w:i/>
          <w:iCs/>
          <w:sz w:val="20"/>
          <w:szCs w:val="20"/>
        </w:rPr>
        <w:t>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  <w:t xml:space="preserve">(…)  </w:t>
      </w:r>
    </w:p>
    <w:p>
      <w:pPr>
        <w:pStyle w:val="Normal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XXV - </w:t>
      </w:r>
      <w:r>
        <w:rPr>
          <w:rFonts w:ascii="Arial" w:hAnsi="Arial"/>
          <w:i/>
          <w:iCs/>
          <w:sz w:val="20"/>
          <w:szCs w:val="20"/>
        </w:rPr>
        <w:t>administrar os bens e as rendas municipais, promover o lançamento, a fiscalização e a arrecadação de tributos;”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0"/>
          <w:szCs w:val="20"/>
        </w:rPr>
      </w:pPr>
      <w:r>
        <w:rPr>
          <w:rFonts w:eastAsia="Calibri" w:cs="Arial" w:ascii="Arial" w:hAnsi="Arial"/>
          <w:i/>
          <w:sz w:val="20"/>
          <w:szCs w:val="20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Também prevê a Lei Orgânica no part. 94, parágrafo único, a necessidade de prévia autorização legislativo para contratos de concessão de uso de imóveis públicos;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b/>
          <w:i/>
          <w:iCs/>
          <w:color w:val="000000"/>
          <w:sz w:val="20"/>
          <w:szCs w:val="20"/>
        </w:rPr>
        <w:t xml:space="preserve">Art. 94. </w:t>
      </w:r>
      <w:r>
        <w:rPr>
          <w:rFonts w:ascii="Arial" w:hAnsi="Arial"/>
          <w:i/>
          <w:iCs/>
          <w:color w:val="000000"/>
          <w:sz w:val="20"/>
          <w:szCs w:val="20"/>
        </w:rPr>
        <w:t>A alienação de bens municipais, subordinada à existência de interesse público, devidamente justificada, é sempre precedida de avaliação, devendo, quando imóveis, dependerem de autorização legislativa e concorrência, dispensada esta, nos seguintes casos: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(...)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b/>
          <w:i/>
          <w:iCs/>
          <w:color w:val="000000"/>
          <w:sz w:val="20"/>
          <w:szCs w:val="20"/>
        </w:rPr>
        <w:t xml:space="preserve">Parágrafo único.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O Município, preferentemente à venda ou doação de seus bens imóveis, outorga concessão de direito real de uso,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mediante prévia autorização legislativa.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Tal obrigação é reforçada no art. 35, VIII também da LOM: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b/>
          <w:i/>
          <w:iCs/>
          <w:sz w:val="24"/>
          <w:szCs w:val="24"/>
        </w:rPr>
        <w:t>Ar</w:t>
      </w: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t. 35. </w:t>
      </w:r>
      <w:r>
        <w:rPr>
          <w:rFonts w:ascii="Arial" w:hAnsi="Arial"/>
          <w:i/>
          <w:iCs/>
          <w:sz w:val="20"/>
          <w:szCs w:val="20"/>
        </w:rPr>
        <w:t>Compete à Câmara de Vereadores, com a sanção do Prefeito: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  <w:t>(…)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VIII - </w:t>
      </w:r>
      <w:r>
        <w:rPr>
          <w:rFonts w:ascii="Arial" w:hAnsi="Arial"/>
          <w:i/>
          <w:iCs/>
          <w:sz w:val="20"/>
          <w:szCs w:val="20"/>
        </w:rPr>
        <w:t>legislar sobre a concessão e permissão de uso de próprios municipais;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tem por objetivo prorrogar a  concessão de uso já autorizada na Lei Municipal 2.448/97, permitindo a continuidade do uso do bem público municipal por parte de associação religiosa.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eastAsia="Calibri" w:cs="Calibri"/>
          <w:shd w:fill="auto" w:val="clear"/>
        </w:rPr>
      </w:pPr>
      <w:r>
        <w:rPr>
          <w:rFonts w:eastAsia="Calibri" w:cs="Calibri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0</w:t>
      </w:r>
      <w:r>
        <w:rPr>
          <w:rFonts w:eastAsia="Calibri" w:cs="Arial" w:ascii="Arial" w:hAnsi="Arial"/>
          <w:sz w:val="24"/>
          <w:szCs w:val="24"/>
        </w:rPr>
        <w:t>9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abril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LibreOffice/7.4.0.3$Windows_X86_64 LibreOffice_project/f85e47c08ddd19c015c0114a68350214f7066f5a</Application>
  <AppVersion>15.0000</AppVersion>
  <Pages>2</Pages>
  <Words>560</Words>
  <Characters>3102</Characters>
  <CharactersWithSpaces>3636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2026-04-14T15:26:24Z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