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PARECER JURÍDICO N° 45/2026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028/2026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 ATILA DE SOUZA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>"Acrescenta data comemorativa ao Anexo I da Lei Municipal n° 5.590, de 23 de dezembro de 2022, que consolida as datas comemorativas do Município de Igrejinha, e dá outras providências";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22/04/2026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22/04/2026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Cs/>
          <w:lang w:val="de-DE"/>
        </w:rPr>
      </w:pPr>
      <w:r>
        <w:rPr>
          <w:rFonts w:eastAsia="Calibri" w:cs="Calibri" w:cstheme="majorHAnsi"/>
          <w:bCs/>
          <w:lang w:val="de-DE"/>
        </w:rPr>
      </w:r>
    </w:p>
    <w:p>
      <w:pPr>
        <w:pStyle w:val="Normal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Projeto de Lei do Legislativo, de autoria de vereador.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Quanto ao rito processual, a matéria não comporta regime de urgência, motivo pelo qual segue o rito normal.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Também verificamos que os Vereadores fazem uso da prerrogativa a eles reconhecida pela Lei Orgânica de Igrejinha para propor o Projeto de Lei, conforme artigo 56 da LOM, de modo que, nada há quanto a este requisito que possa macular a constitucionalidade do respectivo projeto de lei. 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 xml:space="preserve">Quanto à </w:t>
      </w:r>
      <w:r>
        <w:rPr>
          <w:rFonts w:eastAsia="Calibri" w:cs="Calibri" w:ascii="Arial" w:hAnsi="Arial"/>
          <w:i w:val="false"/>
          <w:iCs w:val="false"/>
          <w:sz w:val="24"/>
          <w:szCs w:val="24"/>
        </w:rPr>
        <w:t xml:space="preserve">matéria, pretende o Legislativo instituir dia alusivo ao dia do Caçador, Atirador e Colecionador.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  <w:t xml:space="preserve">Nesse contexto, a respeito de competência legislativa para dispor sobre criação de datas comemorativas, foi que por meio da Ação Direta de Inconstitucionalidade 700575198861 , o TJRS, admitiu que por meio de iniciativa parlamentar poderiam ser propostas tais datas, desde que, sob a condição não serem incluídas no Calendário Oficial de Eventos do Município.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eastAsia="Calibri" w:cs="Calibri"/>
          <w:i w:val="false"/>
          <w:i w:val="false"/>
          <w:iCs w:val="false"/>
        </w:rPr>
      </w:pPr>
      <w:r>
        <w:rPr>
          <w:rFonts w:eastAsia="Calibri" w:cs="Calibri"/>
          <w:i w:val="false"/>
          <w:iCs w:val="false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  <w:t>Ainda, é importante distinguir o Calendário de Oficial de Eventos do Município, que é criado por uma lei específica, e que lista as celebrações vinculadas ao Executivo local, do Calendário Oficial do Município, que inclui todas as datas reconhecidas pelo Poder Público, sem obrigação de organização de eventos a elas atrelados.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i w:val="false"/>
          <w:iCs w:val="false"/>
          <w:sz w:val="24"/>
          <w:szCs w:val="24"/>
        </w:rPr>
        <w:t xml:space="preserve">A lei de iniciativa parlamentar que inclua data no calendário oficial de eventos cria para o Poder Executivo a obrigação de realizar atividades alusivas à aquela data, invadindo a sua competência privativa, e assim violando o princípio da separação dos poderes.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i w:val="false"/>
          <w:iCs w:val="false"/>
          <w:sz w:val="24"/>
          <w:szCs w:val="24"/>
        </w:rPr>
        <w:t xml:space="preserve">O projeto em análise, não requer a inclusão da determinada data no calendário oficial de eventos do município, logo, encontra respaldo na orientação jurisprudencial.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Assim, entendemos que o projeto de lei é viáveil de aprovação.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LOnormal"/>
        <w:ind w:left="2260" w:right="0" w:firstLine="7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Calibri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Calibri" w:ascii="Arial" w:hAnsi="Arial"/>
          <w:sz w:val="24"/>
          <w:szCs w:val="24"/>
        </w:rPr>
        <w:t>e</w:t>
      </w:r>
      <w:r>
        <w:rPr>
          <w:rFonts w:eastAsia="Calibri" w:cs="Calibri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Calibri" w:ascii="Arial" w:hAnsi="Arial"/>
          <w:i/>
          <w:sz w:val="24"/>
          <w:szCs w:val="24"/>
        </w:rPr>
        <w:t xml:space="preserve"> </w:t>
      </w:r>
      <w:r>
        <w:rPr>
          <w:rFonts w:eastAsia="Calibri" w:cs="Calibri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Igrejinha, 23 de abril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odapChar">
    <w:name w:val="Rodapé Char"/>
    <w:qFormat/>
    <w:rPr>
      <w:rFonts w:ascii="Times New Roman" w:hAnsi="Times New Roman" w:eastAsia="Times New Roman" w:cs="Mangal"/>
      <w:color w:val="000000"/>
      <w:sz w:val="24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LibreOffice/7.4.0.3$Windows_X86_64 LibreOffice_project/f85e47c08ddd19c015c0114a68350214f7066f5a</Application>
  <AppVersion>15.0000</AppVersion>
  <Pages>3</Pages>
  <Words>547</Words>
  <Characters>3001</Characters>
  <CharactersWithSpaces>3527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A.F.A Advogado</dc:creator>
  <dc:description/>
  <dc:language>pt-BR</dc:language>
  <cp:lastModifiedBy/>
  <dcterms:modified xsi:type="dcterms:W3CDTF">2026-04-28T15:18:54Z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