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  <w:t>PARECER JURÍDICO N° 069/2026</w:t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Normal"/>
        <w:widowControl w:val="false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b/>
          <w:color w:val="000000"/>
          <w:sz w:val="24"/>
          <w:szCs w:val="24"/>
        </w:rPr>
        <w:t>MATÉRIA: PL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 xml:space="preserve"> 033/2026</w:t>
      </w:r>
    </w:p>
    <w:p>
      <w:pPr>
        <w:pStyle w:val="Normal"/>
        <w:widowControl w:val="false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  <w:t>AUTORIA: Poder Executivo</w:t>
      </w:r>
    </w:p>
    <w:p>
      <w:pPr>
        <w:pStyle w:val="Normal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b/>
          <w:bCs/>
          <w:i/>
          <w:iCs/>
          <w:color w:val="333333"/>
          <w:sz w:val="24"/>
          <w:szCs w:val="24"/>
          <w:highlight w:val="white"/>
        </w:rPr>
        <w:t xml:space="preserve">EMENTA: </w:t>
      </w:r>
      <w:r>
        <w:rPr>
          <w:rFonts w:eastAsia="Calibri" w:cs="Arial" w:ascii="Arial" w:hAnsi="Arial"/>
          <w:b/>
          <w:bCs/>
          <w:i/>
          <w:iCs/>
          <w:color w:val="333333"/>
          <w:sz w:val="24"/>
          <w:szCs w:val="24"/>
          <w:highlight w:val="white"/>
          <w:lang w:val="pt-BR"/>
        </w:rPr>
        <w:t>"Altera a redação do Art. 148 e do inciso III do Art. 138 da Lei Municipal nº 1.864, de 05 de outubro de 1993, que institui o Código de Edificações do Município de Igrejinha, e dá outras providências".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 w:cstheme="majorHAnsi"/>
          <w:bCs/>
          <w:sz w:val="24"/>
          <w:szCs w:val="24"/>
          <w:lang w:val="de-DE"/>
        </w:rPr>
        <w:t>Protocolado em 09/06/2026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 w:cstheme="majorHAnsi"/>
          <w:bCs/>
          <w:sz w:val="24"/>
          <w:szCs w:val="24"/>
          <w:lang w:val="de-DE"/>
        </w:rPr>
        <w:t>Encaminhado à Comissão na 19ª SO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 w:cstheme="majorHAnsi"/>
          <w:b/>
          <w:bCs/>
          <w:color w:val="000000"/>
          <w:sz w:val="24"/>
          <w:szCs w:val="24"/>
          <w:lang w:val="de-DE"/>
        </w:rPr>
        <w:t>Rito de urgência</w:t>
      </w:r>
    </w:p>
    <w:p>
      <w:pPr>
        <w:pStyle w:val="Normal"/>
        <w:widowControl w:val="false"/>
        <w:spacing w:lineRule="auto" w:line="240" w:before="0" w:after="0"/>
        <w:jc w:val="both"/>
        <w:rPr>
          <w:rFonts w:eastAsia="Calibri" w:cs="Calibri" w:cstheme="majorHAnsi"/>
          <w:b/>
          <w:b/>
          <w:bCs/>
          <w:color w:val="000000"/>
          <w:lang w:val="de-DE"/>
        </w:rPr>
      </w:pPr>
      <w:r>
        <w:rPr>
          <w:rFonts w:eastAsia="Calibri" w:cs="Calibri" w:cstheme="majorHAnsi"/>
          <w:b/>
          <w:bCs/>
          <w:color w:val="000000"/>
          <w:lang w:val="de-DE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eastAsia="Calibri" w:cs="Calibri" w:cstheme="majorHAnsi"/>
          <w:b/>
          <w:b/>
          <w:bCs/>
          <w:color w:val="000000"/>
          <w:lang w:val="de-DE"/>
        </w:rPr>
      </w:pPr>
      <w:r>
        <w:rPr>
          <w:rFonts w:eastAsia="Calibri" w:cs="Calibri" w:cstheme="majorHAnsi"/>
          <w:b/>
          <w:bCs/>
          <w:color w:val="000000"/>
          <w:lang w:val="de-DE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eastAsia="Calibri" w:cs="Calibri" w:cstheme="majorHAnsi"/>
          <w:b/>
          <w:b/>
          <w:bCs/>
          <w:color w:val="000000"/>
          <w:lang w:val="de-DE"/>
        </w:rPr>
      </w:pPr>
      <w:r>
        <w:rPr>
          <w:rFonts w:eastAsia="Calibri" w:cs="Calibri" w:cstheme="majorHAnsi"/>
          <w:b/>
          <w:bCs/>
          <w:color w:val="000000"/>
          <w:lang w:val="de-DE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eastAsia="Calibri" w:cs="Calibri" w:cstheme="majorHAnsi"/>
          <w:b/>
          <w:b/>
          <w:bCs/>
          <w:color w:val="000000"/>
          <w:lang w:val="de-DE"/>
        </w:rPr>
      </w:pPr>
      <w:r>
        <w:rPr>
          <w:rFonts w:eastAsia="Calibri" w:cs="Calibri" w:cstheme="majorHAnsi"/>
          <w:b/>
          <w:bCs/>
          <w:color w:val="000000"/>
          <w:lang w:val="de-DE"/>
        </w:rPr>
      </w:r>
    </w:p>
    <w:p>
      <w:pPr>
        <w:pStyle w:val="LOnormal"/>
        <w:widowControl w:val="false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  <w:t>I – RELATÓRIO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 xml:space="preserve">A mesa Diretora da Câmara de Vereadores de Igrejinha encaminhou, nesta data, para essa Procuradoria Jurídica pedido de análise e emissão de parecer jurídico de proposição de autoria do Executivo Municipal. </w:t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>É o sucinto relatório.</w:t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>Passo à análise jurídica.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LOnormal"/>
        <w:widowControl w:val="false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  <w:t>II – ANÁLISE JURÍDICA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ind w:firstLine="850"/>
        <w:jc w:val="both"/>
        <w:rPr/>
      </w:pPr>
      <w:r>
        <w:rPr>
          <w:rFonts w:eastAsia="Calibri" w:cs="Calibri" w:ascii="Arial" w:hAnsi="Arial" w:cstheme="majorHAnsi"/>
          <w:sz w:val="24"/>
          <w:szCs w:val="24"/>
        </w:rPr>
        <w:t>Quanto ao rito processual, o Executivo solicitou urgência na análise da matéria de forma justificada, motivo pelo qual o projeto tramita em regime de URGÊNCIA.</w:t>
      </w:r>
    </w:p>
    <w:p>
      <w:pPr>
        <w:pStyle w:val="Normal"/>
        <w:widowControl w:val="false"/>
        <w:spacing w:lineRule="auto" w:line="240"/>
        <w:ind w:firstLine="850"/>
        <w:jc w:val="both"/>
        <w:rPr/>
      </w:pPr>
      <w:r>
        <w:rPr>
          <w:rFonts w:eastAsia="Calibri" w:cs="Calibri" w:ascii="Arial" w:hAnsi="Arial" w:cstheme="majorHAnsi"/>
          <w:sz w:val="24"/>
          <w:szCs w:val="24"/>
        </w:rPr>
        <w:t xml:space="preserve"> </w:t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</w:r>
    </w:p>
    <w:p>
      <w:pPr>
        <w:pStyle w:val="LOnormal"/>
        <w:widowControl w:val="false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  <w:t>Da Competência e iniciativa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bookmarkStart w:id="0" w:name="_Hlk196227748"/>
      <w:bookmarkEnd w:id="0"/>
      <w:r>
        <w:rPr>
          <w:rFonts w:eastAsia="Calibri" w:cs="Calibri" w:ascii="Arial" w:hAnsi="Arial"/>
          <w:sz w:val="24"/>
          <w:szCs w:val="24"/>
        </w:rPr>
        <w:t xml:space="preserve">Em primeiro momento analisamos a competência quanto a esfera de poder (União, Estado, Município) para proposição do referido Projeto de Lei e, portanto, cumpre dizer que este Projeto tem a utilização legítima da competência legislativa disposta para os Municípios no inciso I, do art. 30, da CF/88, como segue: </w:t>
      </w:r>
    </w:p>
    <w:p>
      <w:pPr>
        <w:pStyle w:val="LOnormal"/>
        <w:spacing w:lineRule="auto" w:line="240"/>
        <w:ind w:firstLine="851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</w:r>
    </w:p>
    <w:p>
      <w:pPr>
        <w:pStyle w:val="LOnormal"/>
        <w:spacing w:lineRule="auto" w:line="240"/>
        <w:ind w:firstLine="851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</w:r>
    </w:p>
    <w:p>
      <w:pPr>
        <w:pStyle w:val="LOnormal"/>
        <w:shd w:val="clear" w:color="auto" w:fill="FFFFFF"/>
        <w:spacing w:lineRule="auto" w:line="240"/>
        <w:ind w:left="2267" w:firstLine="36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i/>
          <w:sz w:val="24"/>
          <w:szCs w:val="24"/>
        </w:rPr>
        <w:t>“</w:t>
      </w:r>
      <w:r>
        <w:rPr>
          <w:rFonts w:eastAsia="Calibri" w:cs="Calibri" w:ascii="Arial" w:hAnsi="Arial"/>
          <w:i/>
          <w:sz w:val="24"/>
          <w:szCs w:val="24"/>
        </w:rPr>
        <w:t>Art. 30. Compete aos Municípios:</w:t>
      </w:r>
    </w:p>
    <w:p>
      <w:pPr>
        <w:pStyle w:val="LOnormal"/>
        <w:shd w:val="clear" w:color="auto" w:fill="FFFFFF"/>
        <w:spacing w:lineRule="auto" w:line="240"/>
        <w:ind w:left="2267" w:firstLine="36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i/>
          <w:sz w:val="24"/>
          <w:szCs w:val="24"/>
        </w:rPr>
        <w:t>I - legislar sobre assuntos de interesse local; [...]</w:t>
      </w:r>
    </w:p>
    <w:p>
      <w:pPr>
        <w:pStyle w:val="LOnormal"/>
        <w:shd w:val="clear" w:color="auto" w:fill="FFFFFF"/>
        <w:spacing w:lineRule="auto" w:line="240"/>
        <w:ind w:left="2267" w:firstLine="360"/>
        <w:jc w:val="both"/>
        <w:rPr>
          <w:rFonts w:ascii="Arial" w:hAnsi="Arial" w:eastAsia="Calibri" w:cs="Calibri"/>
          <w:i/>
          <w:i/>
          <w:sz w:val="24"/>
          <w:szCs w:val="24"/>
        </w:rPr>
      </w:pPr>
      <w:r>
        <w:rPr>
          <w:rFonts w:eastAsia="Calibri" w:cs="Calibri" w:ascii="Arial" w:hAnsi="Arial"/>
          <w:i/>
          <w:sz w:val="24"/>
          <w:szCs w:val="24"/>
        </w:rPr>
      </w:r>
    </w:p>
    <w:p>
      <w:pPr>
        <w:pStyle w:val="LOnormal"/>
        <w:shd w:val="clear" w:color="auto" w:fill="FFFFFF"/>
        <w:spacing w:lineRule="auto" w:line="240"/>
        <w:ind w:left="2267" w:firstLine="360"/>
        <w:jc w:val="both"/>
        <w:rPr>
          <w:rFonts w:eastAsia="Calibri" w:cs="Calibri" w:cstheme="majorHAnsi"/>
        </w:rPr>
      </w:pPr>
      <w:r>
        <w:rPr>
          <w:rFonts w:eastAsia="Calibri" w:cs="Calibri" w:cstheme="majorHAnsi"/>
        </w:rPr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>Também verificamos que o Executivo Municipal fez uso da prerrogativa a ele reconhecida pela Lei Orgânica de Igrejinha para iniciar o processo legislativo, de modo que, nada há quanto a este requisito que possa macular a constitucionalidade do respectivo projeto de lei.</w:t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  <w:shd w:fill="auto" w:val="clear"/>
        </w:rPr>
        <w:t xml:space="preserve">Quanto a matéria, o projeto visa alterar o Código de Edificações, introduzindo alterações no acesso de estacionamentos e sistemas de tratamento de esgoto.  </w:t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 w:eastAsia="Calibri" w:cs="Calibri"/>
          <w:sz w:val="24"/>
          <w:szCs w:val="24"/>
          <w:shd w:fill="auto" w:val="clear"/>
        </w:rPr>
      </w:pPr>
      <w:r>
        <w:rPr>
          <w:rFonts w:eastAsia="Calibri" w:cs="Calibri" w:ascii="Arial" w:hAnsi="Arial"/>
          <w:sz w:val="24"/>
          <w:szCs w:val="24"/>
          <w:shd w:fill="auto" w:val="clear"/>
        </w:rPr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  <w:shd w:fill="auto" w:val="clear"/>
        </w:rPr>
        <w:t xml:space="preserve">A matéria não impacta o orçamento, tendo em vista que corresponde a regulamentação de edificações. </w:t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  <w:shd w:fill="auto" w:val="clear"/>
        </w:rPr>
        <w:t xml:space="preserve"> </w:t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 xml:space="preserve">Assim, a matéria não apresenta ilegalidade e o projeto atende os requisitos formais sendo viável a sua apreciação. </w:t>
      </w:r>
    </w:p>
    <w:p>
      <w:pPr>
        <w:pStyle w:val="LOnormal"/>
        <w:widowControl w:val="false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LOnormal"/>
        <w:widowControl w:val="false"/>
        <w:spacing w:lineRule="auto" w:line="240"/>
        <w:ind w:firstLine="850"/>
        <w:jc w:val="both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LOnormal"/>
        <w:spacing w:lineRule="auto" w:line="24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  <w:u w:val="single"/>
        </w:rPr>
        <w:t>III – CONCLUSÃO</w:t>
      </w:r>
      <w:r>
        <w:rPr>
          <w:rFonts w:eastAsia="Calibri" w:cs="Arial" w:ascii="Arial" w:hAnsi="Arial"/>
          <w:b/>
          <w:sz w:val="24"/>
          <w:szCs w:val="24"/>
        </w:rPr>
        <w:t xml:space="preserve"> </w:t>
      </w:r>
    </w:p>
    <w:p>
      <w:pPr>
        <w:pStyle w:val="LOnormal"/>
        <w:spacing w:lineRule="auto" w:line="240"/>
        <w:ind w:left="2260" w:firstLine="7"/>
        <w:jc w:val="both"/>
        <w:rPr>
          <w:rFonts w:ascii="Arial" w:hAnsi="Arial" w:eastAsia="Calibri" w:cs="Arial"/>
          <w:i/>
          <w:i/>
          <w:sz w:val="24"/>
          <w:szCs w:val="24"/>
        </w:rPr>
      </w:pPr>
      <w:r>
        <w:rPr>
          <w:rFonts w:eastAsia="Calibri" w:cs="Arial" w:ascii="Arial" w:hAnsi="Arial"/>
          <w:i/>
          <w:sz w:val="24"/>
          <w:szCs w:val="24"/>
        </w:rPr>
      </w:r>
    </w:p>
    <w:p>
      <w:pPr>
        <w:pStyle w:val="LOnormal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 xml:space="preserve">Assim sendo, esta Assessoria Jurídica opina pela </w:t>
      </w:r>
      <w:r>
        <w:rPr>
          <w:rFonts w:eastAsia="Calibri" w:cs="Arial" w:ascii="Arial" w:hAnsi="Arial"/>
          <w:b/>
          <w:i/>
          <w:sz w:val="24"/>
          <w:szCs w:val="24"/>
        </w:rPr>
        <w:t xml:space="preserve">legalidade </w:t>
      </w:r>
      <w:r>
        <w:rPr>
          <w:rFonts w:eastAsia="Calibri" w:cs="Arial" w:ascii="Arial" w:hAnsi="Arial"/>
          <w:sz w:val="24"/>
          <w:szCs w:val="24"/>
        </w:rPr>
        <w:t>e</w:t>
      </w:r>
      <w:r>
        <w:rPr>
          <w:rFonts w:eastAsia="Calibri" w:cs="Arial" w:ascii="Arial" w:hAnsi="Arial"/>
          <w:b/>
          <w:i/>
          <w:sz w:val="24"/>
          <w:szCs w:val="24"/>
        </w:rPr>
        <w:t xml:space="preserve"> constitucionalidade</w:t>
      </w:r>
      <w:r>
        <w:rPr>
          <w:rFonts w:eastAsia="Calibri" w:cs="Arial" w:ascii="Arial" w:hAnsi="Arial"/>
          <w:i/>
          <w:sz w:val="24"/>
          <w:szCs w:val="24"/>
        </w:rPr>
        <w:t xml:space="preserve"> </w:t>
      </w:r>
      <w:r>
        <w:rPr>
          <w:rFonts w:eastAsia="Calibri" w:cs="Arial" w:ascii="Arial" w:hAnsi="Arial"/>
          <w:sz w:val="24"/>
          <w:szCs w:val="24"/>
        </w:rPr>
        <w:t>do referido projeto de Lei, tendo em vista que em análise não se observou qualquer vício em sua redação.</w:t>
      </w:r>
    </w:p>
    <w:p>
      <w:pPr>
        <w:pStyle w:val="LOnormal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>Portanto, no que diz respeito ao mérito, a Procuradoria Jurídica não irá se pronunciar, pois caberá aos vereadores, no uso da função legislativa, verificar a viabilidade da aprovação, respeitando-se para tanto, as formalidades legais e regimentais.</w:t>
      </w:r>
    </w:p>
    <w:p>
      <w:pPr>
        <w:pStyle w:val="LOnormal"/>
        <w:spacing w:lineRule="auto" w:line="240"/>
        <w:ind w:firstLine="850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LOnormal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>Este é o parecer.</w:t>
      </w:r>
    </w:p>
    <w:p>
      <w:pPr>
        <w:pStyle w:val="Normal"/>
        <w:spacing w:lineRule="auto" w:line="240"/>
        <w:ind w:firstLine="850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Normal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>Igrejinha, 02 de julho de 2026.</w:t>
      </w:r>
    </w:p>
    <w:p>
      <w:pPr>
        <w:pStyle w:val="Normal"/>
        <w:spacing w:lineRule="auto" w:line="240"/>
        <w:ind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ind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ind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  <w:t xml:space="preserve">Anderson Fidelis de Araujo </w:t>
      </w:r>
    </w:p>
    <w:p>
      <w:pPr>
        <w:pStyle w:val="Normal"/>
        <w:spacing w:lineRule="auto" w:line="240"/>
        <w:ind w:firstLine="850"/>
        <w:jc w:val="both"/>
        <w:rPr>
          <w:rFonts w:ascii="Arial" w:hAnsi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>Assessor Jurídico</w:t>
      </w:r>
    </w:p>
    <w:p>
      <w:pPr>
        <w:pStyle w:val="Normal"/>
        <w:spacing w:lineRule="auto" w:line="240"/>
        <w:ind w:firstLine="850"/>
        <w:jc w:val="both"/>
        <w:rPr>
          <w:rFonts w:eastAsia="Calibri" w:cs="Calibri" w:cstheme="majorHAnsi"/>
        </w:rPr>
      </w:pPr>
      <w:bookmarkStart w:id="1" w:name="_Hlk1962277481"/>
      <w:bookmarkEnd w:id="1"/>
      <w:r>
        <w:rPr>
          <w:rFonts w:eastAsia="Calibri" w:cs="Arial" w:ascii="Arial" w:hAnsi="Arial"/>
          <w:sz w:val="24"/>
          <w:szCs w:val="24"/>
        </w:rPr>
        <w:t>OAB/RS 58.063.</w:t>
      </w:r>
    </w:p>
    <w:sectPr>
      <w:headerReference w:type="default" r:id="rId2"/>
      <w:footerReference w:type="default" r:id="rId3"/>
      <w:type w:val="nextPage"/>
      <w:pgSz w:w="11906" w:h="16838"/>
      <w:pgMar w:left="1418" w:right="963" w:gutter="0" w:header="708" w:top="2095" w:footer="708" w:bottom="128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right" w:pos="10080" w:leader="none"/>
      </w:tabs>
      <w:ind w:left="-1260" w:right="-1242" w:hanging="0"/>
      <w:jc w:val="center"/>
      <w:rPr>
        <w:rFonts w:ascii="Arial" w:hAnsi="Arial" w:eastAsia="Arial" w:cs="Arial"/>
        <w:color w:val="000000"/>
        <w:sz w:val="16"/>
        <w:szCs w:val="16"/>
      </w:rPr>
    </w:pPr>
    <w:r>
      <w:rPr>
        <w:rFonts w:eastAsia="Arial" w:cs="Arial" w:ascii="Arial" w:hAnsi="Arial"/>
        <w:color w:val="000000"/>
        <w:sz w:val="16"/>
        <w:szCs w:val="16"/>
      </w:rPr>
      <w:t xml:space="preserve"> “</w:t>
    </w:r>
    <w:r>
      <w:rPr>
        <w:rFonts w:eastAsia="Arial" w:cs="Arial" w:ascii="Arial" w:hAnsi="Arial"/>
        <w:color w:val="000000"/>
        <w:sz w:val="16"/>
        <w:szCs w:val="16"/>
      </w:rPr>
      <w:t>Doe vida: doe sangue, doe órgãos.”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sz w:val="16"/>
        <w:szCs w:val="16"/>
      </w:rPr>
    </w:pPr>
    <w:hyperlink r:id="rId1">
      <w:r>
        <w:rPr>
          <w:rFonts w:eastAsia="Arial" w:cs="Arial" w:ascii="Arial" w:hAnsi="Arial"/>
          <w:b/>
          <w:color w:val="0000FF"/>
          <w:sz w:val="16"/>
          <w:szCs w:val="16"/>
          <w:u w:val="single"/>
        </w:rPr>
        <w:t>www.camaraigrejinha.com.br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-1843" w:leader="none"/>
      </w:tabs>
      <w:jc w:val="center"/>
      <w:rPr>
        <w:rFonts w:ascii="Arial" w:hAnsi="Arial" w:eastAsia="Arial" w:cs="Arial"/>
        <w:color w:val="000000"/>
        <w:sz w:val="20"/>
        <w:szCs w:val="20"/>
      </w:rPr>
    </w:pPr>
    <w:r>
      <w:drawing>
        <wp:anchor behindDoc="0" distT="114300" distB="114300" distL="114300" distR="114300" simplePos="0" locked="0" layoutInCell="0" allowOverlap="1" relativeHeight="3">
          <wp:simplePos x="0" y="0"/>
          <wp:positionH relativeFrom="column">
            <wp:posOffset>66675</wp:posOffset>
          </wp:positionH>
          <wp:positionV relativeFrom="paragraph">
            <wp:posOffset>-40005</wp:posOffset>
          </wp:positionV>
          <wp:extent cx="573405" cy="543560"/>
          <wp:effectExtent l="0" t="0" r="0" b="0"/>
          <wp:wrapTopAndBottom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543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cs="Arial" w:ascii="Arial" w:hAnsi="Arial"/>
        <w:b/>
        <w:color w:val="000000"/>
        <w:sz w:val="20"/>
        <w:szCs w:val="20"/>
      </w:rPr>
      <w:t>ESTADO DO RIO GRANDE DO SUL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color w:val="000000"/>
        <w:sz w:val="20"/>
        <w:szCs w:val="20"/>
      </w:rPr>
    </w:pPr>
    <w:r>
      <w:rPr>
        <w:rFonts w:eastAsia="Arial" w:cs="Arial" w:ascii="Arial" w:hAnsi="Arial"/>
        <w:b/>
        <w:color w:val="000000"/>
        <w:sz w:val="20"/>
        <w:szCs w:val="20"/>
      </w:rPr>
      <w:t>CÂMARA MUNICIPAL DE IGREJINHA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Rua Tiradentes, 115, Centro – CEP 95650-000 – Igrejinha RS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Fone/Fax: (51) 3545.1644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sz w:val="20"/>
        <w:szCs w:val="20"/>
      </w:rPr>
    </w:pPr>
    <w:r>
      <w:rPr>
        <w:rFonts w:eastAsia="Arial" w:cs="Arial" w:ascii="Arial" w:hAnsi="Arial"/>
        <w:b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Caracteresdenotaderodap">
    <w:name w:val="Caracteres de nota de rodapé"/>
    <w:qFormat/>
    <w:rPr/>
  </w:style>
  <w:style w:type="character" w:styleId="Ncoradanotaderodap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896b7c"/>
    <w:pPr>
      <w:spacing w:before="0" w:after="0"/>
      <w:ind w:left="720" w:hanging="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LO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Notaderodap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camaraigrejinha.com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Application>LibreOffice/7.4.0.3$Windows_X86_64 LibreOffice_project/f85e47c08ddd19c015c0114a68350214f7066f5a</Application>
  <AppVersion>15.0000</AppVersion>
  <Pages>3</Pages>
  <Words>408</Words>
  <Characters>2232</Characters>
  <CharactersWithSpaces>2622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2025-01-09T13:04:00Z</dcterms:created>
  <dc:creator>A.F.A Advogado</dc:creator>
  <dc:description/>
  <dc:language>pt-BR</dc:language>
  <cp:lastModifiedBy/>
  <cp:lastPrinted>2026-05-12T15:40:44Z</cp:lastPrinted>
  <dcterms:modified xsi:type="dcterms:W3CDTF">2026-07-07T15:22:46Z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